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D48" w:rsidRDefault="00760D48" w:rsidP="00760D48">
      <w:pPr>
        <w:spacing w:line="117" w:lineRule="exact"/>
        <w:rPr>
          <w:rFonts w:ascii="Times New Roman" w:eastAsia="Times New Roman" w:hAnsi="Times New Roman"/>
          <w:sz w:val="24"/>
        </w:rPr>
      </w:pPr>
      <w:bookmarkStart w:id="0" w:name="page1"/>
      <w:bookmarkEnd w:id="0"/>
    </w:p>
    <w:p w:rsidR="00760D48" w:rsidRDefault="00760D48" w:rsidP="00760D48">
      <w:pPr>
        <w:spacing w:line="0" w:lineRule="atLeast"/>
        <w:ind w:left="2640"/>
        <w:rPr>
          <w:rFonts w:ascii="Arial" w:eastAsia="Arial" w:hAnsi="Arial"/>
          <w:b/>
          <w:sz w:val="17"/>
        </w:rPr>
      </w:pPr>
      <w:r>
        <w:rPr>
          <w:rFonts w:ascii="Arial" w:eastAsia="Arial" w:hAnsi="Arial"/>
          <w:b/>
          <w:sz w:val="17"/>
        </w:rPr>
        <w:t>Open Access Original</w:t>
      </w:r>
    </w:p>
    <w:p w:rsidR="00760D48" w:rsidRDefault="00760D48" w:rsidP="00760D48">
      <w:pPr>
        <w:spacing w:line="20" w:lineRule="exact"/>
        <w:rPr>
          <w:rFonts w:ascii="Times New Roman" w:eastAsia="Times New Roman" w:hAnsi="Times New Roman"/>
          <w:sz w:val="24"/>
        </w:rPr>
      </w:pPr>
      <w:r>
        <w:rPr>
          <w:rFonts w:ascii="Arial" w:eastAsia="Arial" w:hAnsi="Arial"/>
          <w:b/>
          <w:noProof/>
          <w:sz w:val="17"/>
          <w:lang w:bidi="ar-SA"/>
        </w:rPr>
        <w:drawing>
          <wp:anchor distT="0" distB="0" distL="114300" distR="114300" simplePos="0" relativeHeight="251672576" behindDoc="1" locked="0" layoutInCell="1" allowOverlap="1">
            <wp:simplePos x="0" y="0"/>
            <wp:positionH relativeFrom="column">
              <wp:posOffset>5715</wp:posOffset>
            </wp:positionH>
            <wp:positionV relativeFrom="paragraph">
              <wp:posOffset>-24765</wp:posOffset>
            </wp:positionV>
            <wp:extent cx="653415" cy="1460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14605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17" w:lineRule="exact"/>
        <w:rPr>
          <w:rFonts w:ascii="Times New Roman" w:eastAsia="Times New Roman" w:hAnsi="Times New Roman"/>
          <w:sz w:val="24"/>
        </w:rPr>
      </w:pPr>
    </w:p>
    <w:p w:rsidR="00760D48" w:rsidRDefault="00760D48" w:rsidP="00760D48">
      <w:pPr>
        <w:tabs>
          <w:tab w:val="left" w:pos="7000"/>
        </w:tabs>
        <w:spacing w:line="0" w:lineRule="atLeast"/>
        <w:ind w:left="2640"/>
        <w:rPr>
          <w:rFonts w:ascii="Arial" w:eastAsia="Arial" w:hAnsi="Arial"/>
          <w:sz w:val="17"/>
        </w:rPr>
      </w:pPr>
      <w:r>
        <w:rPr>
          <w:rFonts w:ascii="Arial" w:eastAsia="Arial" w:hAnsi="Arial"/>
          <w:b/>
          <w:sz w:val="17"/>
        </w:rPr>
        <w:t>Article</w:t>
      </w:r>
      <w:r>
        <w:rPr>
          <w:rFonts w:ascii="Times New Roman" w:eastAsia="Times New Roman" w:hAnsi="Times New Roman"/>
        </w:rPr>
        <w:tab/>
      </w:r>
      <w:r>
        <w:rPr>
          <w:rFonts w:ascii="Arial" w:eastAsia="Arial" w:hAnsi="Arial"/>
          <w:b/>
          <w:sz w:val="17"/>
        </w:rPr>
        <w:t xml:space="preserve">DOI: </w:t>
      </w:r>
      <w:r>
        <w:rPr>
          <w:rFonts w:ascii="Arial" w:eastAsia="Arial" w:hAnsi="Arial"/>
          <w:sz w:val="17"/>
        </w:rPr>
        <w:t>10.7759/cureus.2857</w:t>
      </w:r>
    </w:p>
    <w:p w:rsidR="00760D48" w:rsidRDefault="00760D48" w:rsidP="00760D48">
      <w:pPr>
        <w:spacing w:line="308" w:lineRule="exact"/>
        <w:rPr>
          <w:rFonts w:ascii="Times New Roman" w:eastAsia="Times New Roman" w:hAnsi="Times New Roman"/>
          <w:sz w:val="24"/>
        </w:rPr>
      </w:pPr>
    </w:p>
    <w:p w:rsidR="00760D48" w:rsidRDefault="00760D48" w:rsidP="00760D48">
      <w:pPr>
        <w:spacing w:line="273" w:lineRule="auto"/>
        <w:ind w:left="2700" w:right="160"/>
        <w:rPr>
          <w:rFonts w:ascii="Arial" w:eastAsia="Arial" w:hAnsi="Arial"/>
          <w:b/>
          <w:color w:val="15BCA4"/>
          <w:sz w:val="37"/>
        </w:rPr>
      </w:pPr>
      <w:r>
        <w:rPr>
          <w:rFonts w:ascii="Arial" w:eastAsia="Arial" w:hAnsi="Arial"/>
          <w:b/>
          <w:color w:val="15BCA4"/>
          <w:sz w:val="37"/>
        </w:rPr>
        <w:t>Prognosis of Percutaneous Intervention of a Left Main Coronary Artery Stenosis Without the Use of Intravascular Imaging</w:t>
      </w:r>
    </w:p>
    <w:p w:rsidR="00760D48" w:rsidRDefault="00760D48" w:rsidP="00760D48">
      <w:pPr>
        <w:spacing w:line="103" w:lineRule="exact"/>
        <w:rPr>
          <w:rFonts w:ascii="Times New Roman" w:eastAsia="Times New Roman" w:hAnsi="Times New Roman"/>
          <w:sz w:val="24"/>
        </w:rPr>
      </w:pPr>
    </w:p>
    <w:p w:rsidR="00760D48" w:rsidRDefault="001D2EC7" w:rsidP="00760D48">
      <w:pPr>
        <w:spacing w:line="242" w:lineRule="auto"/>
        <w:ind w:left="2700" w:right="160"/>
        <w:rPr>
          <w:rFonts w:ascii="Arial" w:eastAsia="Arial" w:hAnsi="Arial"/>
          <w:color w:val="15BCA4"/>
          <w:sz w:val="30"/>
          <w:vertAlign w:val="superscript"/>
        </w:rPr>
      </w:pPr>
      <w:hyperlink r:id="rId6" w:history="1">
        <w:r w:rsidR="00760D48">
          <w:rPr>
            <w:rFonts w:ascii="Arial" w:eastAsia="Arial" w:hAnsi="Arial"/>
            <w:color w:val="222222"/>
            <w:sz w:val="18"/>
          </w:rPr>
          <w:t xml:space="preserve">Mazhar Mahmood </w:t>
        </w:r>
      </w:hyperlink>
      <w:r w:rsidR="00760D48">
        <w:rPr>
          <w:rFonts w:ascii="Arial" w:eastAsia="Arial" w:hAnsi="Arial"/>
          <w:color w:val="15BCA4"/>
          <w:sz w:val="30"/>
          <w:vertAlign w:val="superscript"/>
        </w:rPr>
        <w:t>1</w:t>
      </w:r>
      <w:r w:rsidR="00760D48">
        <w:rPr>
          <w:rFonts w:ascii="Arial" w:eastAsia="Arial" w:hAnsi="Arial"/>
          <w:color w:val="222222"/>
          <w:sz w:val="18"/>
        </w:rPr>
        <w:t xml:space="preserve"> , </w:t>
      </w:r>
      <w:hyperlink r:id="rId7" w:history="1">
        <w:r w:rsidR="00760D48">
          <w:rPr>
            <w:rFonts w:ascii="Arial" w:eastAsia="Arial" w:hAnsi="Arial"/>
            <w:color w:val="222222"/>
            <w:sz w:val="18"/>
          </w:rPr>
          <w:t xml:space="preserve">Afrasyab Altaf </w:t>
        </w:r>
      </w:hyperlink>
      <w:r w:rsidR="00760D48">
        <w:rPr>
          <w:rFonts w:ascii="Arial" w:eastAsia="Arial" w:hAnsi="Arial"/>
          <w:color w:val="15BCA4"/>
          <w:sz w:val="30"/>
          <w:vertAlign w:val="superscript"/>
        </w:rPr>
        <w:t>1</w:t>
      </w:r>
      <w:r w:rsidR="00760D48">
        <w:rPr>
          <w:rFonts w:ascii="Arial" w:eastAsia="Arial" w:hAnsi="Arial"/>
          <w:color w:val="222222"/>
          <w:sz w:val="18"/>
        </w:rPr>
        <w:t xml:space="preserve"> , </w:t>
      </w:r>
      <w:hyperlink r:id="rId8" w:history="1">
        <w:r w:rsidR="00760D48">
          <w:rPr>
            <w:rFonts w:ascii="Arial" w:eastAsia="Arial" w:hAnsi="Arial"/>
            <w:color w:val="222222"/>
            <w:sz w:val="18"/>
          </w:rPr>
          <w:t xml:space="preserve">Momin Salahuddin </w:t>
        </w:r>
      </w:hyperlink>
      <w:r w:rsidR="00760D48">
        <w:rPr>
          <w:rFonts w:ascii="Arial" w:eastAsia="Arial" w:hAnsi="Arial"/>
          <w:color w:val="15BCA4"/>
          <w:sz w:val="30"/>
          <w:vertAlign w:val="superscript"/>
        </w:rPr>
        <w:t>1</w:t>
      </w:r>
      <w:r w:rsidR="00760D48">
        <w:rPr>
          <w:rFonts w:ascii="Arial" w:eastAsia="Arial" w:hAnsi="Arial"/>
          <w:color w:val="222222"/>
          <w:sz w:val="18"/>
        </w:rPr>
        <w:t xml:space="preserve"> , </w:t>
      </w:r>
      <w:hyperlink r:id="rId9" w:history="1">
        <w:r w:rsidR="00760D48">
          <w:rPr>
            <w:rFonts w:ascii="Arial" w:eastAsia="Arial" w:hAnsi="Arial"/>
            <w:color w:val="222222"/>
            <w:sz w:val="18"/>
          </w:rPr>
          <w:t xml:space="preserve">Momin Khan </w:t>
        </w:r>
      </w:hyperlink>
      <w:r w:rsidR="00760D48">
        <w:rPr>
          <w:rFonts w:ascii="Arial" w:eastAsia="Arial" w:hAnsi="Arial"/>
          <w:color w:val="15BCA4"/>
          <w:sz w:val="30"/>
          <w:vertAlign w:val="superscript"/>
        </w:rPr>
        <w:t>2</w:t>
      </w:r>
      <w:r w:rsidR="00760D48">
        <w:rPr>
          <w:rFonts w:ascii="Arial" w:eastAsia="Arial" w:hAnsi="Arial"/>
          <w:color w:val="222222"/>
          <w:sz w:val="18"/>
        </w:rPr>
        <w:t xml:space="preserve"> , </w:t>
      </w:r>
      <w:hyperlink r:id="rId10" w:history="1">
        <w:r w:rsidR="00760D48">
          <w:rPr>
            <w:rFonts w:ascii="Arial" w:eastAsia="Arial" w:hAnsi="Arial"/>
            <w:color w:val="222222"/>
            <w:sz w:val="18"/>
          </w:rPr>
          <w:t xml:space="preserve">Karamat A. Shah </w:t>
        </w:r>
      </w:hyperlink>
      <w:r w:rsidR="00760D48">
        <w:rPr>
          <w:rFonts w:ascii="Arial" w:eastAsia="Arial" w:hAnsi="Arial"/>
          <w:color w:val="15BCA4"/>
          <w:sz w:val="30"/>
          <w:vertAlign w:val="superscript"/>
        </w:rPr>
        <w:t>1</w:t>
      </w:r>
      <w:r w:rsidR="00760D48">
        <w:rPr>
          <w:rFonts w:ascii="Arial" w:eastAsia="Arial" w:hAnsi="Arial"/>
          <w:color w:val="222222"/>
          <w:sz w:val="18"/>
        </w:rPr>
        <w:t xml:space="preserve"> , </w:t>
      </w:r>
      <w:hyperlink r:id="rId11" w:history="1">
        <w:r w:rsidR="00760D48">
          <w:rPr>
            <w:rFonts w:ascii="Arial" w:eastAsia="Arial" w:hAnsi="Arial"/>
            <w:color w:val="222222"/>
            <w:sz w:val="18"/>
          </w:rPr>
          <w:t xml:space="preserve">Hammad Shah </w:t>
        </w:r>
      </w:hyperlink>
      <w:r w:rsidR="00760D48">
        <w:rPr>
          <w:rFonts w:ascii="Arial" w:eastAsia="Arial" w:hAnsi="Arial"/>
          <w:color w:val="15BCA4"/>
          <w:sz w:val="30"/>
          <w:vertAlign w:val="superscript"/>
        </w:rPr>
        <w:t>3</w:t>
      </w:r>
    </w:p>
    <w:p w:rsidR="00760D48" w:rsidRDefault="00760D48" w:rsidP="00760D48">
      <w:pPr>
        <w:spacing w:line="164" w:lineRule="exact"/>
        <w:rPr>
          <w:rFonts w:ascii="Arial" w:eastAsia="Arial" w:hAnsi="Arial"/>
          <w:color w:val="222222"/>
          <w:sz w:val="18"/>
        </w:rPr>
      </w:pPr>
    </w:p>
    <w:p w:rsidR="00760D48" w:rsidRDefault="00760D48" w:rsidP="00760D48">
      <w:pPr>
        <w:widowControl/>
        <w:numPr>
          <w:ilvl w:val="0"/>
          <w:numId w:val="1"/>
        </w:numPr>
        <w:tabs>
          <w:tab w:val="left" w:pos="2879"/>
        </w:tabs>
        <w:autoSpaceDE/>
        <w:autoSpaceDN/>
        <w:spacing w:line="329" w:lineRule="auto"/>
        <w:ind w:left="2700" w:right="300" w:hanging="3"/>
        <w:rPr>
          <w:rFonts w:ascii="Arial" w:eastAsia="Arial" w:hAnsi="Arial"/>
          <w:color w:val="15BCA4"/>
          <w:sz w:val="17"/>
        </w:rPr>
      </w:pPr>
      <w:r>
        <w:rPr>
          <w:rFonts w:ascii="Arial" w:eastAsia="Arial" w:hAnsi="Arial"/>
          <w:color w:val="222222"/>
          <w:sz w:val="17"/>
        </w:rPr>
        <w:t xml:space="preserve">Department of Cardiology, Rehman Medical Institute, Peshawar, PAK </w:t>
      </w:r>
      <w:r>
        <w:rPr>
          <w:rFonts w:ascii="Arial" w:eastAsia="Arial" w:hAnsi="Arial"/>
          <w:color w:val="15BCA4"/>
          <w:sz w:val="17"/>
        </w:rPr>
        <w:t>2.</w:t>
      </w:r>
      <w:r>
        <w:rPr>
          <w:rFonts w:ascii="Arial" w:eastAsia="Arial" w:hAnsi="Arial"/>
          <w:color w:val="222222"/>
          <w:sz w:val="17"/>
        </w:rPr>
        <w:t xml:space="preserve"> Department of Cardiology, Rehman Medical Institute, PESHAWAR, PAK </w:t>
      </w:r>
      <w:r>
        <w:rPr>
          <w:rFonts w:ascii="Arial" w:eastAsia="Arial" w:hAnsi="Arial"/>
          <w:color w:val="15BCA4"/>
          <w:sz w:val="17"/>
        </w:rPr>
        <w:t>3.</w:t>
      </w:r>
      <w:r>
        <w:rPr>
          <w:rFonts w:ascii="Arial" w:eastAsia="Arial" w:hAnsi="Arial"/>
          <w:color w:val="222222"/>
          <w:sz w:val="17"/>
        </w:rPr>
        <w:t xml:space="preserve"> Department of Cardiology, Rehman Medical Institute</w:t>
      </w:r>
    </w:p>
    <w:p w:rsidR="00760D48" w:rsidRDefault="00760D48" w:rsidP="00760D48">
      <w:pPr>
        <w:spacing w:line="263" w:lineRule="exact"/>
        <w:rPr>
          <w:rFonts w:ascii="Arial" w:eastAsia="Arial" w:hAnsi="Arial"/>
          <w:color w:val="222222"/>
          <w:sz w:val="18"/>
        </w:rPr>
      </w:pPr>
    </w:p>
    <w:p w:rsidR="00760D48" w:rsidRDefault="00760D48" w:rsidP="00760D48">
      <w:pPr>
        <w:spacing w:line="329" w:lineRule="auto"/>
        <w:ind w:left="2700" w:right="2300" w:firstLine="215"/>
        <w:rPr>
          <w:rFonts w:ascii="Arial" w:eastAsia="Arial" w:hAnsi="Arial"/>
          <w:color w:val="222222"/>
          <w:sz w:val="17"/>
        </w:rPr>
      </w:pPr>
      <w:r>
        <w:rPr>
          <w:rFonts w:ascii="Arial" w:eastAsia="Arial" w:hAnsi="Arial"/>
          <w:b/>
          <w:color w:val="222222"/>
          <w:sz w:val="17"/>
        </w:rPr>
        <w:t xml:space="preserve">Corresponding author: </w:t>
      </w:r>
      <w:r>
        <w:rPr>
          <w:rFonts w:ascii="Arial" w:eastAsia="Arial" w:hAnsi="Arial"/>
          <w:color w:val="222222"/>
          <w:sz w:val="17"/>
        </w:rPr>
        <w:t>Afrasyab Altaf, afrasyabaltaf@gmail.com</w:t>
      </w:r>
      <w:r>
        <w:rPr>
          <w:rFonts w:ascii="Arial" w:eastAsia="Arial" w:hAnsi="Arial"/>
          <w:b/>
          <w:color w:val="222222"/>
          <w:sz w:val="17"/>
        </w:rPr>
        <w:t xml:space="preserve"> </w:t>
      </w:r>
      <w:r>
        <w:rPr>
          <w:rFonts w:ascii="Arial" w:eastAsia="Arial" w:hAnsi="Arial"/>
          <w:color w:val="222222"/>
          <w:sz w:val="17"/>
        </w:rPr>
        <w:t>Disclosures can be found in Additional Information at the end of the article</w:t>
      </w:r>
    </w:p>
    <w:p w:rsidR="00760D48" w:rsidRDefault="00760D48" w:rsidP="00760D48">
      <w:pPr>
        <w:spacing w:line="20" w:lineRule="exact"/>
        <w:rPr>
          <w:rFonts w:ascii="Arial" w:eastAsia="Arial" w:hAnsi="Arial"/>
          <w:color w:val="222222"/>
          <w:sz w:val="18"/>
        </w:rPr>
      </w:pPr>
      <w:r>
        <w:rPr>
          <w:rFonts w:ascii="Arial" w:eastAsia="Arial" w:hAnsi="Arial"/>
          <w:noProof/>
          <w:color w:val="222222"/>
          <w:sz w:val="17"/>
          <w:lang w:bidi="ar-SA"/>
        </w:rPr>
        <w:drawing>
          <wp:anchor distT="0" distB="0" distL="114300" distR="114300" simplePos="0" relativeHeight="251673600" behindDoc="1" locked="0" layoutInCell="1" allowOverlap="1">
            <wp:simplePos x="0" y="0"/>
            <wp:positionH relativeFrom="column">
              <wp:posOffset>1712595</wp:posOffset>
            </wp:positionH>
            <wp:positionV relativeFrom="paragraph">
              <wp:posOffset>217805</wp:posOffset>
            </wp:positionV>
            <wp:extent cx="4964430" cy="2921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4430" cy="29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222222"/>
          <w:sz w:val="17"/>
          <w:lang w:bidi="ar-SA"/>
        </w:rPr>
        <w:drawing>
          <wp:anchor distT="0" distB="0" distL="114300" distR="114300" simplePos="0" relativeHeight="251674624" behindDoc="1" locked="0" layoutInCell="1" allowOverlap="1">
            <wp:simplePos x="0" y="0"/>
            <wp:positionH relativeFrom="column">
              <wp:posOffset>1712595</wp:posOffset>
            </wp:positionH>
            <wp:positionV relativeFrom="paragraph">
              <wp:posOffset>266065</wp:posOffset>
            </wp:positionV>
            <wp:extent cx="4964430" cy="95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4430" cy="952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 w:lineRule="exact"/>
        <w:rPr>
          <w:rFonts w:ascii="Arial" w:eastAsia="Arial" w:hAnsi="Arial"/>
          <w:color w:val="222222"/>
          <w:sz w:val="18"/>
        </w:rPr>
        <w:sectPr w:rsidR="00760D48" w:rsidSect="00760D48">
          <w:type w:val="continuous"/>
          <w:pgSz w:w="11900" w:h="16957"/>
          <w:pgMar w:top="391" w:right="580" w:bottom="0" w:left="680" w:header="0" w:footer="0" w:gutter="0"/>
          <w:cols w:space="0" w:equalWidth="0">
            <w:col w:w="10640"/>
          </w:cols>
          <w:docGrid w:linePitch="360"/>
        </w:sect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200" w:lineRule="exact"/>
        <w:rPr>
          <w:rFonts w:ascii="Arial" w:eastAsia="Arial" w:hAnsi="Arial"/>
          <w:color w:val="222222"/>
          <w:sz w:val="18"/>
        </w:rPr>
      </w:pPr>
    </w:p>
    <w:p w:rsidR="00760D48" w:rsidRDefault="00760D48" w:rsidP="00760D48">
      <w:pPr>
        <w:spacing w:line="342" w:lineRule="exact"/>
        <w:rPr>
          <w:rFonts w:ascii="Arial" w:eastAsia="Arial" w:hAnsi="Arial"/>
          <w:color w:val="222222"/>
          <w:sz w:val="18"/>
        </w:rPr>
      </w:pPr>
    </w:p>
    <w:p w:rsidR="00760D48" w:rsidRDefault="00760D48" w:rsidP="00760D48">
      <w:pPr>
        <w:spacing w:line="352" w:lineRule="auto"/>
        <w:ind w:right="620"/>
        <w:rPr>
          <w:rFonts w:ascii="Arial" w:eastAsia="Arial" w:hAnsi="Arial"/>
          <w:color w:val="222222"/>
          <w:sz w:val="14"/>
        </w:rPr>
      </w:pPr>
      <w:r>
        <w:rPr>
          <w:rFonts w:ascii="Arial" w:eastAsia="Arial" w:hAnsi="Arial"/>
          <w:b/>
          <w:color w:val="222222"/>
          <w:sz w:val="14"/>
        </w:rPr>
        <w:t xml:space="preserve">Received </w:t>
      </w:r>
      <w:r>
        <w:rPr>
          <w:rFonts w:ascii="Arial" w:eastAsia="Arial" w:hAnsi="Arial"/>
          <w:color w:val="222222"/>
          <w:sz w:val="14"/>
        </w:rPr>
        <w:t>01/29/2018</w:t>
      </w:r>
      <w:r>
        <w:rPr>
          <w:rFonts w:ascii="Arial" w:eastAsia="Arial" w:hAnsi="Arial"/>
          <w:b/>
          <w:color w:val="222222"/>
          <w:sz w:val="14"/>
        </w:rPr>
        <w:t xml:space="preserve"> Review began </w:t>
      </w:r>
      <w:r>
        <w:rPr>
          <w:rFonts w:ascii="Arial" w:eastAsia="Arial" w:hAnsi="Arial"/>
          <w:color w:val="222222"/>
          <w:sz w:val="14"/>
        </w:rPr>
        <w:t>02/18/2018</w:t>
      </w:r>
      <w:r>
        <w:rPr>
          <w:rFonts w:ascii="Arial" w:eastAsia="Arial" w:hAnsi="Arial"/>
          <w:b/>
          <w:color w:val="222222"/>
          <w:sz w:val="14"/>
        </w:rPr>
        <w:t xml:space="preserve"> Review ended </w:t>
      </w:r>
      <w:r>
        <w:rPr>
          <w:rFonts w:ascii="Arial" w:eastAsia="Arial" w:hAnsi="Arial"/>
          <w:color w:val="222222"/>
          <w:sz w:val="14"/>
        </w:rPr>
        <w:t>06/12/2018</w:t>
      </w:r>
      <w:r>
        <w:rPr>
          <w:rFonts w:ascii="Arial" w:eastAsia="Arial" w:hAnsi="Arial"/>
          <w:b/>
          <w:color w:val="222222"/>
          <w:sz w:val="14"/>
        </w:rPr>
        <w:t xml:space="preserve"> Published </w:t>
      </w:r>
      <w:r>
        <w:rPr>
          <w:rFonts w:ascii="Arial" w:eastAsia="Arial" w:hAnsi="Arial"/>
          <w:color w:val="222222"/>
          <w:sz w:val="14"/>
        </w:rPr>
        <w:t>06/22/2018</w:t>
      </w:r>
    </w:p>
    <w:p w:rsidR="00760D48" w:rsidRDefault="00760D48" w:rsidP="00760D48">
      <w:pPr>
        <w:spacing w:line="54" w:lineRule="exact"/>
        <w:rPr>
          <w:rFonts w:ascii="Arial" w:eastAsia="Arial" w:hAnsi="Arial"/>
          <w:color w:val="222222"/>
          <w:sz w:val="18"/>
        </w:rPr>
      </w:pPr>
    </w:p>
    <w:p w:rsidR="00760D48" w:rsidRDefault="00760D48" w:rsidP="00760D48">
      <w:pPr>
        <w:spacing w:line="0" w:lineRule="atLeast"/>
        <w:rPr>
          <w:rFonts w:ascii="Arial" w:eastAsia="Arial" w:hAnsi="Arial"/>
          <w:color w:val="222222"/>
          <w:sz w:val="14"/>
        </w:rPr>
      </w:pPr>
      <w:r>
        <w:rPr>
          <w:rFonts w:ascii="Arial" w:eastAsia="Arial" w:hAnsi="Arial"/>
          <w:b/>
          <w:color w:val="222222"/>
          <w:sz w:val="14"/>
        </w:rPr>
        <w:t xml:space="preserve">© Copyright </w:t>
      </w:r>
      <w:r>
        <w:rPr>
          <w:rFonts w:ascii="Arial" w:eastAsia="Arial" w:hAnsi="Arial"/>
          <w:color w:val="222222"/>
          <w:sz w:val="14"/>
        </w:rPr>
        <w:t>2018</w:t>
      </w:r>
    </w:p>
    <w:p w:rsidR="00760D48" w:rsidRDefault="00760D48" w:rsidP="00760D48">
      <w:pPr>
        <w:spacing w:line="64" w:lineRule="exact"/>
        <w:rPr>
          <w:rFonts w:ascii="Arial" w:eastAsia="Arial" w:hAnsi="Arial"/>
          <w:color w:val="222222"/>
          <w:sz w:val="18"/>
        </w:rPr>
      </w:pPr>
    </w:p>
    <w:p w:rsidR="00760D48" w:rsidRDefault="00760D48" w:rsidP="00760D48">
      <w:pPr>
        <w:spacing w:line="328" w:lineRule="auto"/>
        <w:rPr>
          <w:rFonts w:ascii="Arial" w:eastAsia="Arial" w:hAnsi="Arial"/>
          <w:color w:val="222222"/>
          <w:sz w:val="14"/>
        </w:rPr>
      </w:pPr>
      <w:r>
        <w:rPr>
          <w:rFonts w:ascii="Arial" w:eastAsia="Arial" w:hAnsi="Arial"/>
          <w:color w:val="222222"/>
          <w:sz w:val="14"/>
        </w:rPr>
        <w:t>Mahmood et al. This is an open access article distributed under the terms of the Creative Commons Attribution License CC-BY 3.0., which permits unrestricted use, distribution, and reproduction in any medium, provided the original author and source are credited.</w:t>
      </w:r>
    </w:p>
    <w:p w:rsidR="00760D48" w:rsidRDefault="00760D48" w:rsidP="00760D48">
      <w:pPr>
        <w:spacing w:line="200" w:lineRule="exact"/>
        <w:rPr>
          <w:rFonts w:ascii="Arial" w:eastAsia="Arial" w:hAnsi="Arial"/>
          <w:color w:val="222222"/>
          <w:sz w:val="18"/>
        </w:rPr>
      </w:pPr>
      <w:r>
        <w:rPr>
          <w:rFonts w:ascii="Arial" w:eastAsia="Arial" w:hAnsi="Arial"/>
          <w:color w:val="222222"/>
          <w:sz w:val="14"/>
        </w:rPr>
        <w:br w:type="column"/>
      </w:r>
    </w:p>
    <w:p w:rsidR="00760D48" w:rsidRDefault="00760D48" w:rsidP="00760D48">
      <w:pPr>
        <w:spacing w:line="329" w:lineRule="exact"/>
        <w:rPr>
          <w:rFonts w:ascii="Arial" w:eastAsia="Arial" w:hAnsi="Arial"/>
          <w:color w:val="222222"/>
          <w:sz w:val="18"/>
        </w:rPr>
      </w:pPr>
    </w:p>
    <w:p w:rsidR="00760D48" w:rsidRDefault="00760D48" w:rsidP="00760D48">
      <w:pPr>
        <w:spacing w:line="0" w:lineRule="atLeast"/>
        <w:ind w:left="40"/>
        <w:rPr>
          <w:rFonts w:ascii="Arial" w:eastAsia="Arial" w:hAnsi="Arial"/>
          <w:b/>
          <w:color w:val="15BCA4"/>
          <w:sz w:val="32"/>
        </w:rPr>
      </w:pPr>
      <w:r>
        <w:rPr>
          <w:rFonts w:ascii="Arial" w:eastAsia="Arial" w:hAnsi="Arial"/>
          <w:b/>
          <w:color w:val="15BCA4"/>
          <w:sz w:val="32"/>
        </w:rPr>
        <w:t>Abstract</w:t>
      </w:r>
    </w:p>
    <w:p w:rsidR="00760D48" w:rsidRDefault="00760D48" w:rsidP="00760D48">
      <w:pPr>
        <w:spacing w:line="149" w:lineRule="exact"/>
        <w:rPr>
          <w:rFonts w:ascii="Arial" w:eastAsia="Arial" w:hAnsi="Arial"/>
          <w:color w:val="222222"/>
          <w:sz w:val="18"/>
        </w:rPr>
      </w:pPr>
    </w:p>
    <w:p w:rsidR="00760D48" w:rsidRDefault="00760D48" w:rsidP="00760D48">
      <w:pPr>
        <w:spacing w:line="0" w:lineRule="atLeast"/>
        <w:ind w:left="40"/>
        <w:rPr>
          <w:rFonts w:ascii="Arial" w:eastAsia="Arial" w:hAnsi="Arial"/>
          <w:color w:val="222222"/>
          <w:sz w:val="18"/>
        </w:rPr>
      </w:pPr>
      <w:r>
        <w:rPr>
          <w:rFonts w:ascii="Arial" w:eastAsia="Arial" w:hAnsi="Arial"/>
          <w:color w:val="222222"/>
          <w:sz w:val="18"/>
        </w:rPr>
        <w:t>Objectives</w:t>
      </w:r>
    </w:p>
    <w:p w:rsidR="00760D48" w:rsidRDefault="00760D48" w:rsidP="00760D48">
      <w:pPr>
        <w:spacing w:line="361" w:lineRule="exact"/>
        <w:rPr>
          <w:rFonts w:ascii="Arial" w:eastAsia="Arial" w:hAnsi="Arial"/>
          <w:color w:val="222222"/>
          <w:sz w:val="18"/>
        </w:rPr>
      </w:pPr>
    </w:p>
    <w:p w:rsidR="00760D48" w:rsidRDefault="00760D48" w:rsidP="00760D48">
      <w:pPr>
        <w:spacing w:line="338" w:lineRule="auto"/>
        <w:ind w:left="40" w:right="520"/>
        <w:rPr>
          <w:rFonts w:ascii="Arial" w:eastAsia="Arial" w:hAnsi="Arial"/>
          <w:color w:val="222222"/>
          <w:sz w:val="18"/>
        </w:rPr>
      </w:pPr>
      <w:r>
        <w:rPr>
          <w:rFonts w:ascii="Arial" w:eastAsia="Arial" w:hAnsi="Arial"/>
          <w:color w:val="222222"/>
          <w:sz w:val="18"/>
        </w:rPr>
        <w:t>The aim of this study was to assess the prognosis in patients with left main coronary artery stenosis one year after percutaneous coronary intervention (PCI).</w:t>
      </w:r>
    </w:p>
    <w:p w:rsidR="00760D48" w:rsidRDefault="00760D48" w:rsidP="00760D48">
      <w:pPr>
        <w:spacing w:line="246" w:lineRule="exact"/>
        <w:rPr>
          <w:rFonts w:ascii="Arial" w:eastAsia="Arial" w:hAnsi="Arial"/>
          <w:color w:val="222222"/>
          <w:sz w:val="18"/>
        </w:rPr>
      </w:pPr>
    </w:p>
    <w:p w:rsidR="00760D48" w:rsidRDefault="00760D48" w:rsidP="00760D48">
      <w:pPr>
        <w:spacing w:line="0" w:lineRule="atLeast"/>
        <w:ind w:left="40"/>
        <w:rPr>
          <w:rFonts w:ascii="Arial" w:eastAsia="Arial" w:hAnsi="Arial"/>
          <w:color w:val="222222"/>
          <w:sz w:val="18"/>
        </w:rPr>
      </w:pPr>
      <w:r>
        <w:rPr>
          <w:rFonts w:ascii="Arial" w:eastAsia="Arial" w:hAnsi="Arial"/>
          <w:color w:val="222222"/>
          <w:sz w:val="18"/>
        </w:rPr>
        <w:t>Methods</w:t>
      </w:r>
    </w:p>
    <w:p w:rsidR="00760D48" w:rsidRDefault="00760D48" w:rsidP="00760D48">
      <w:pPr>
        <w:spacing w:line="361" w:lineRule="exact"/>
        <w:rPr>
          <w:rFonts w:ascii="Arial" w:eastAsia="Arial" w:hAnsi="Arial"/>
          <w:color w:val="222222"/>
          <w:sz w:val="18"/>
        </w:rPr>
      </w:pPr>
    </w:p>
    <w:p w:rsidR="00760D48" w:rsidRDefault="00760D48" w:rsidP="00760D48">
      <w:pPr>
        <w:spacing w:line="0" w:lineRule="atLeast"/>
        <w:ind w:left="40"/>
        <w:rPr>
          <w:rFonts w:ascii="Arial" w:eastAsia="Arial" w:hAnsi="Arial"/>
          <w:color w:val="222222"/>
          <w:sz w:val="18"/>
        </w:rPr>
      </w:pPr>
      <w:r>
        <w:rPr>
          <w:rFonts w:ascii="Arial" w:eastAsia="Arial" w:hAnsi="Arial"/>
          <w:color w:val="222222"/>
          <w:sz w:val="18"/>
        </w:rPr>
        <w:t>Our study included 40 patients who underwent PCI for left main coronary artery</w:t>
      </w:r>
    </w:p>
    <w:p w:rsidR="00760D48" w:rsidRDefault="00760D48" w:rsidP="00760D48">
      <w:pPr>
        <w:spacing w:line="54" w:lineRule="exact"/>
        <w:rPr>
          <w:rFonts w:ascii="Arial" w:eastAsia="Arial" w:hAnsi="Arial"/>
          <w:color w:val="222222"/>
          <w:sz w:val="18"/>
        </w:rPr>
      </w:pPr>
    </w:p>
    <w:p w:rsidR="00760D48" w:rsidRDefault="00760D48" w:rsidP="00760D48">
      <w:pPr>
        <w:spacing w:line="320" w:lineRule="auto"/>
        <w:ind w:left="40" w:right="140"/>
        <w:rPr>
          <w:rFonts w:ascii="Arial" w:eastAsia="Arial" w:hAnsi="Arial"/>
          <w:color w:val="222222"/>
          <w:sz w:val="18"/>
        </w:rPr>
      </w:pPr>
      <w:r>
        <w:rPr>
          <w:rFonts w:ascii="Arial" w:eastAsia="Arial" w:hAnsi="Arial"/>
          <w:color w:val="222222"/>
          <w:sz w:val="18"/>
        </w:rPr>
        <w:t>stenosis without the use of intravascular ultrasound (IVUS). Patients were followed for a year, and the prognostic effect of PCI on a composite end-point of revascularization, new myocardial infarction, cardiac death, and on all-cause mortality was assessed in multivariable Cox analysis.</w:t>
      </w:r>
    </w:p>
    <w:p w:rsidR="00760D48" w:rsidRDefault="00760D48" w:rsidP="00760D48">
      <w:pPr>
        <w:spacing w:line="263" w:lineRule="exact"/>
        <w:rPr>
          <w:rFonts w:ascii="Arial" w:eastAsia="Arial" w:hAnsi="Arial"/>
          <w:color w:val="222222"/>
          <w:sz w:val="18"/>
        </w:rPr>
      </w:pPr>
    </w:p>
    <w:p w:rsidR="00760D48" w:rsidRDefault="00760D48" w:rsidP="00760D48">
      <w:pPr>
        <w:spacing w:line="0" w:lineRule="atLeast"/>
        <w:ind w:left="40"/>
        <w:rPr>
          <w:rFonts w:ascii="Arial" w:eastAsia="Arial" w:hAnsi="Arial"/>
          <w:color w:val="222222"/>
          <w:sz w:val="18"/>
        </w:rPr>
      </w:pPr>
      <w:r>
        <w:rPr>
          <w:rFonts w:ascii="Arial" w:eastAsia="Arial" w:hAnsi="Arial"/>
          <w:color w:val="222222"/>
          <w:sz w:val="18"/>
        </w:rPr>
        <w:t>Results</w:t>
      </w:r>
    </w:p>
    <w:p w:rsidR="00760D48" w:rsidRDefault="00760D48" w:rsidP="00760D48">
      <w:pPr>
        <w:spacing w:line="361" w:lineRule="exact"/>
        <w:rPr>
          <w:rFonts w:ascii="Arial" w:eastAsia="Arial" w:hAnsi="Arial"/>
          <w:color w:val="222222"/>
          <w:sz w:val="18"/>
        </w:rPr>
      </w:pPr>
    </w:p>
    <w:p w:rsidR="00760D48" w:rsidRDefault="00760D48" w:rsidP="00760D48">
      <w:pPr>
        <w:spacing w:line="314" w:lineRule="auto"/>
        <w:ind w:left="40" w:right="100"/>
        <w:rPr>
          <w:rFonts w:ascii="Arial" w:eastAsia="Arial" w:hAnsi="Arial"/>
          <w:color w:val="222222"/>
          <w:sz w:val="18"/>
        </w:rPr>
      </w:pPr>
      <w:r>
        <w:rPr>
          <w:rFonts w:ascii="Arial" w:eastAsia="Arial" w:hAnsi="Arial"/>
          <w:color w:val="222222"/>
          <w:sz w:val="18"/>
        </w:rPr>
        <w:t>The multivariable analysis showed a good prognosis in patients receiving PCI with a total event rate of 7.5%. The independent predictors for major adverse cardiac events (MACE) were diabetes (p = 0.02). Other prognostic factors included in the model were gender, age, smoking, body mass index (BMI), hypertension, the complexity of the vessel, and ejection fraction.</w:t>
      </w:r>
    </w:p>
    <w:p w:rsidR="00760D48" w:rsidRDefault="00760D48" w:rsidP="00760D48">
      <w:pPr>
        <w:spacing w:line="268" w:lineRule="exact"/>
        <w:rPr>
          <w:rFonts w:ascii="Arial" w:eastAsia="Arial" w:hAnsi="Arial"/>
          <w:color w:val="222222"/>
          <w:sz w:val="18"/>
        </w:rPr>
      </w:pPr>
    </w:p>
    <w:p w:rsidR="00760D48" w:rsidRDefault="00760D48" w:rsidP="00760D48">
      <w:pPr>
        <w:spacing w:line="0" w:lineRule="atLeast"/>
        <w:ind w:left="40"/>
        <w:rPr>
          <w:rFonts w:ascii="Arial" w:eastAsia="Arial" w:hAnsi="Arial"/>
          <w:color w:val="222222"/>
          <w:sz w:val="18"/>
        </w:rPr>
      </w:pPr>
      <w:r>
        <w:rPr>
          <w:rFonts w:ascii="Arial" w:eastAsia="Arial" w:hAnsi="Arial"/>
          <w:color w:val="222222"/>
          <w:sz w:val="18"/>
        </w:rPr>
        <w:t>Conclusion</w:t>
      </w:r>
    </w:p>
    <w:p w:rsidR="00760D48" w:rsidRDefault="00760D48" w:rsidP="00760D48">
      <w:pPr>
        <w:spacing w:line="361" w:lineRule="exact"/>
        <w:rPr>
          <w:rFonts w:ascii="Arial" w:eastAsia="Arial" w:hAnsi="Arial"/>
          <w:color w:val="222222"/>
          <w:sz w:val="18"/>
        </w:rPr>
      </w:pPr>
    </w:p>
    <w:p w:rsidR="00760D48" w:rsidRDefault="00760D48" w:rsidP="00760D48">
      <w:pPr>
        <w:spacing w:line="338" w:lineRule="auto"/>
        <w:ind w:left="40" w:right="400"/>
        <w:rPr>
          <w:rFonts w:ascii="Arial" w:eastAsia="Arial" w:hAnsi="Arial"/>
          <w:color w:val="222222"/>
          <w:sz w:val="18"/>
        </w:rPr>
      </w:pPr>
      <w:r>
        <w:rPr>
          <w:rFonts w:ascii="Arial" w:eastAsia="Arial" w:hAnsi="Arial"/>
          <w:color w:val="222222"/>
          <w:sz w:val="18"/>
        </w:rPr>
        <w:t>PCI for left main coronary artery stenosis without the use of IVUS has a good prognosis after one year of clinical follow-up.</w:t>
      </w:r>
    </w:p>
    <w:p w:rsidR="00760D48" w:rsidRDefault="00760D48" w:rsidP="00760D48">
      <w:pPr>
        <w:spacing w:line="20" w:lineRule="exact"/>
        <w:rPr>
          <w:rFonts w:ascii="Arial" w:eastAsia="Arial" w:hAnsi="Arial"/>
          <w:color w:val="222222"/>
          <w:sz w:val="18"/>
        </w:rPr>
      </w:pPr>
      <w:r>
        <w:rPr>
          <w:rFonts w:ascii="Arial" w:eastAsia="Arial" w:hAnsi="Arial"/>
          <w:noProof/>
          <w:color w:val="222222"/>
          <w:sz w:val="18"/>
          <w:lang w:bidi="ar-SA"/>
        </w:rPr>
        <w:drawing>
          <wp:anchor distT="0" distB="0" distL="114300" distR="114300" simplePos="0" relativeHeight="251675648" behindDoc="1" locked="0" layoutInCell="1" allowOverlap="1">
            <wp:simplePos x="0" y="0"/>
            <wp:positionH relativeFrom="column">
              <wp:posOffset>23495</wp:posOffset>
            </wp:positionH>
            <wp:positionV relativeFrom="paragraph">
              <wp:posOffset>148590</wp:posOffset>
            </wp:positionV>
            <wp:extent cx="4964430" cy="2921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4430" cy="2921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0" w:lineRule="exact"/>
        <w:rPr>
          <w:rFonts w:ascii="Arial" w:eastAsia="Arial" w:hAnsi="Arial"/>
          <w:color w:val="222222"/>
          <w:sz w:val="18"/>
        </w:rPr>
      </w:pPr>
    </w:p>
    <w:p w:rsidR="00760D48" w:rsidRDefault="00760D48" w:rsidP="00760D48">
      <w:pPr>
        <w:spacing w:line="365" w:lineRule="exact"/>
        <w:rPr>
          <w:rFonts w:ascii="Arial" w:eastAsia="Arial" w:hAnsi="Arial"/>
          <w:color w:val="222222"/>
          <w:sz w:val="18"/>
        </w:rPr>
      </w:pPr>
    </w:p>
    <w:p w:rsidR="00760D48" w:rsidRDefault="00760D48" w:rsidP="00760D48">
      <w:pPr>
        <w:spacing w:line="0" w:lineRule="atLeast"/>
        <w:ind w:left="40"/>
        <w:rPr>
          <w:rFonts w:ascii="Arial" w:eastAsia="Arial" w:hAnsi="Arial"/>
          <w:color w:val="222222"/>
          <w:sz w:val="17"/>
        </w:rPr>
      </w:pPr>
      <w:r>
        <w:rPr>
          <w:rFonts w:ascii="Arial" w:eastAsia="Arial" w:hAnsi="Arial"/>
          <w:b/>
          <w:color w:val="222222"/>
          <w:sz w:val="17"/>
        </w:rPr>
        <w:t xml:space="preserve">Categories: </w:t>
      </w:r>
      <w:r>
        <w:rPr>
          <w:rFonts w:ascii="Arial" w:eastAsia="Arial" w:hAnsi="Arial"/>
          <w:color w:val="222222"/>
          <w:sz w:val="17"/>
        </w:rPr>
        <w:t>Cardiology</w:t>
      </w:r>
    </w:p>
    <w:p w:rsidR="00760D48" w:rsidRDefault="00760D48" w:rsidP="00760D48">
      <w:pPr>
        <w:spacing w:line="50" w:lineRule="exact"/>
        <w:rPr>
          <w:rFonts w:ascii="Arial" w:eastAsia="Arial" w:hAnsi="Arial"/>
          <w:color w:val="222222"/>
          <w:sz w:val="18"/>
        </w:rPr>
      </w:pPr>
    </w:p>
    <w:p w:rsidR="00760D48" w:rsidRDefault="00760D48" w:rsidP="00760D48">
      <w:pPr>
        <w:spacing w:line="329" w:lineRule="auto"/>
        <w:ind w:left="40" w:right="660"/>
        <w:rPr>
          <w:rFonts w:ascii="Arial" w:eastAsia="Arial" w:hAnsi="Arial"/>
          <w:color w:val="222222"/>
          <w:sz w:val="17"/>
        </w:rPr>
      </w:pPr>
      <w:r>
        <w:rPr>
          <w:rFonts w:ascii="Arial" w:eastAsia="Arial" w:hAnsi="Arial"/>
          <w:b/>
          <w:color w:val="222222"/>
          <w:sz w:val="17"/>
        </w:rPr>
        <w:t xml:space="preserve">Keywords: </w:t>
      </w:r>
      <w:r>
        <w:rPr>
          <w:rFonts w:ascii="Arial" w:eastAsia="Arial" w:hAnsi="Arial"/>
          <w:color w:val="222222"/>
          <w:sz w:val="17"/>
        </w:rPr>
        <w:t>ischemic heart disease, left main stem, intravascular imaging, percutaneous coronary</w:t>
      </w:r>
      <w:r>
        <w:rPr>
          <w:rFonts w:ascii="Arial" w:eastAsia="Arial" w:hAnsi="Arial"/>
          <w:b/>
          <w:color w:val="222222"/>
          <w:sz w:val="17"/>
        </w:rPr>
        <w:t xml:space="preserve"> </w:t>
      </w:r>
      <w:r>
        <w:rPr>
          <w:rFonts w:ascii="Arial" w:eastAsia="Arial" w:hAnsi="Arial"/>
          <w:color w:val="222222"/>
          <w:sz w:val="17"/>
        </w:rPr>
        <w:t>intervention, coronary artery stenosis</w:t>
      </w:r>
    </w:p>
    <w:p w:rsidR="00760D48" w:rsidRDefault="00760D48" w:rsidP="00760D48">
      <w:pPr>
        <w:spacing w:line="191" w:lineRule="exact"/>
        <w:rPr>
          <w:rFonts w:ascii="Arial" w:eastAsia="Arial" w:hAnsi="Arial"/>
          <w:color w:val="222222"/>
          <w:sz w:val="18"/>
        </w:rPr>
      </w:pPr>
    </w:p>
    <w:p w:rsidR="00760D48" w:rsidRDefault="00760D48" w:rsidP="00760D48">
      <w:pPr>
        <w:spacing w:line="0" w:lineRule="atLeast"/>
        <w:ind w:left="40"/>
        <w:rPr>
          <w:rFonts w:ascii="Arial" w:eastAsia="Arial" w:hAnsi="Arial"/>
          <w:b/>
          <w:color w:val="15BCA4"/>
          <w:sz w:val="32"/>
        </w:rPr>
      </w:pPr>
      <w:r>
        <w:rPr>
          <w:rFonts w:ascii="Arial" w:eastAsia="Arial" w:hAnsi="Arial"/>
          <w:b/>
          <w:color w:val="15BCA4"/>
          <w:sz w:val="32"/>
        </w:rPr>
        <w:t>Introduction</w:t>
      </w:r>
    </w:p>
    <w:p w:rsidR="00760D48" w:rsidRDefault="00760D48" w:rsidP="00760D48">
      <w:pPr>
        <w:spacing w:line="149" w:lineRule="exact"/>
        <w:rPr>
          <w:rFonts w:ascii="Arial" w:eastAsia="Arial" w:hAnsi="Arial"/>
          <w:color w:val="222222"/>
          <w:sz w:val="18"/>
        </w:rPr>
      </w:pPr>
    </w:p>
    <w:p w:rsidR="00760D48" w:rsidRDefault="00760D48" w:rsidP="00760D48">
      <w:pPr>
        <w:spacing w:line="314" w:lineRule="auto"/>
        <w:ind w:left="40" w:right="120"/>
        <w:rPr>
          <w:rFonts w:ascii="Arial" w:eastAsia="Arial" w:hAnsi="Arial"/>
          <w:color w:val="222222"/>
          <w:sz w:val="18"/>
        </w:rPr>
      </w:pPr>
      <w:r>
        <w:rPr>
          <w:rFonts w:ascii="Arial" w:eastAsia="Arial" w:hAnsi="Arial"/>
          <w:color w:val="222222"/>
          <w:sz w:val="18"/>
        </w:rPr>
        <w:t>Left main coronary artery disease (LMCAD) is associated with significant morbidity and mortality. The relative risk of perioperative mortality for patients with significant LMCA stenosis compared with patients without LMCAD is 1.3. The five-year mortality in coronary-artery bypass grafting (CABG) patients with three-vessel disease is 10.7%, compared with 15.8%</w:t>
      </w:r>
    </w:p>
    <w:p w:rsidR="00760D48" w:rsidRDefault="00760D48" w:rsidP="00760D48">
      <w:pPr>
        <w:spacing w:line="395" w:lineRule="exact"/>
        <w:rPr>
          <w:rFonts w:ascii="Arial" w:eastAsia="Arial" w:hAnsi="Arial"/>
          <w:color w:val="222222"/>
          <w:sz w:val="18"/>
        </w:rPr>
      </w:pPr>
    </w:p>
    <w:p w:rsidR="00760D48" w:rsidRDefault="00760D48" w:rsidP="00760D48">
      <w:pPr>
        <w:spacing w:line="0" w:lineRule="atLeast"/>
        <w:rPr>
          <w:rFonts w:ascii="Arial" w:eastAsia="Arial" w:hAnsi="Arial"/>
          <w:b/>
          <w:sz w:val="17"/>
        </w:rPr>
      </w:pPr>
      <w:r>
        <w:rPr>
          <w:rFonts w:ascii="Arial" w:eastAsia="Arial" w:hAnsi="Arial"/>
          <w:b/>
          <w:sz w:val="17"/>
        </w:rPr>
        <w:t>How to cite this article</w:t>
      </w:r>
    </w:p>
    <w:p w:rsidR="00760D48" w:rsidRDefault="00760D48" w:rsidP="00760D48">
      <w:pPr>
        <w:spacing w:line="37" w:lineRule="exact"/>
        <w:rPr>
          <w:rFonts w:ascii="Arial" w:eastAsia="Arial" w:hAnsi="Arial"/>
          <w:color w:val="222222"/>
          <w:sz w:val="18"/>
        </w:rPr>
      </w:pPr>
    </w:p>
    <w:p w:rsidR="00760D48" w:rsidRDefault="00760D48" w:rsidP="00760D48">
      <w:pPr>
        <w:spacing w:line="270" w:lineRule="auto"/>
        <w:rPr>
          <w:rFonts w:ascii="Arial" w:eastAsia="Arial" w:hAnsi="Arial"/>
          <w:sz w:val="17"/>
        </w:rPr>
      </w:pPr>
      <w:r>
        <w:rPr>
          <w:rFonts w:ascii="Arial" w:eastAsia="Arial" w:hAnsi="Arial"/>
          <w:sz w:val="17"/>
        </w:rPr>
        <w:t>Mahmood M, Altaf A, Salahuddin M, et al. (June 22, 2018) Prognosis of Percutaneous Intervention of a Left Main Coronary Artery Stenosis Without the Use of Intravascular Imaging. Cureus 10(6): e2857. DOI 10.7759/cureus.2857</w:t>
      </w:r>
    </w:p>
    <w:p w:rsidR="00760D48" w:rsidRDefault="00760D48" w:rsidP="00760D48">
      <w:pPr>
        <w:spacing w:line="270" w:lineRule="auto"/>
        <w:rPr>
          <w:rFonts w:ascii="Arial" w:eastAsia="Arial" w:hAnsi="Arial"/>
          <w:sz w:val="17"/>
        </w:rPr>
        <w:sectPr w:rsidR="00760D48">
          <w:type w:val="continuous"/>
          <w:pgSz w:w="11900" w:h="16957"/>
          <w:pgMar w:top="391" w:right="580" w:bottom="0" w:left="680" w:header="0" w:footer="0" w:gutter="0"/>
          <w:cols w:num="2" w:space="0" w:equalWidth="0">
            <w:col w:w="2320" w:space="340"/>
            <w:col w:w="7980"/>
          </w:cols>
          <w:docGrid w:linePitch="360"/>
        </w:sectPr>
      </w:pPr>
    </w:p>
    <w:p w:rsidR="00760D48" w:rsidRDefault="00760D48" w:rsidP="00760D48">
      <w:pPr>
        <w:spacing w:line="338" w:lineRule="auto"/>
        <w:ind w:left="2820" w:right="360"/>
        <w:rPr>
          <w:rFonts w:ascii="Arial" w:eastAsia="Arial" w:hAnsi="Arial"/>
          <w:color w:val="222222"/>
          <w:sz w:val="18"/>
        </w:rPr>
      </w:pPr>
      <w:bookmarkStart w:id="1" w:name="page2"/>
      <w:bookmarkEnd w:id="1"/>
      <w:r>
        <w:rPr>
          <w:rFonts w:ascii="Arial" w:eastAsia="Arial" w:hAnsi="Arial"/>
          <w:noProof/>
          <w:sz w:val="17"/>
          <w:lang w:bidi="ar-SA"/>
        </w:rPr>
        <w:lastRenderedPageBreak/>
        <w:drawing>
          <wp:anchor distT="0" distB="0" distL="114300" distR="114300" simplePos="0" relativeHeight="251676672" behindDoc="1" locked="0" layoutInCell="1" allowOverlap="1">
            <wp:simplePos x="0" y="0"/>
            <wp:positionH relativeFrom="page">
              <wp:posOffset>437515</wp:posOffset>
            </wp:positionH>
            <wp:positionV relativeFrom="page">
              <wp:posOffset>354965</wp:posOffset>
            </wp:positionV>
            <wp:extent cx="653415" cy="1460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46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22222"/>
          <w:sz w:val="18"/>
        </w:rPr>
        <w:t xml:space="preserve">in patients with LMCAD </w:t>
      </w:r>
      <w:r>
        <w:rPr>
          <w:rFonts w:ascii="Arial" w:eastAsia="Arial" w:hAnsi="Arial"/>
          <w:color w:val="15BCA4"/>
          <w:sz w:val="18"/>
        </w:rPr>
        <w:t>[1-4]</w:t>
      </w:r>
      <w:r>
        <w:rPr>
          <w:rFonts w:ascii="Arial" w:eastAsia="Arial" w:hAnsi="Arial"/>
          <w:color w:val="222222"/>
          <w:sz w:val="18"/>
        </w:rPr>
        <w:t xml:space="preserve">. Conventionally, CABG is recommended for most patients with LMCAD </w:t>
      </w:r>
      <w:r>
        <w:rPr>
          <w:rFonts w:ascii="Arial" w:eastAsia="Arial" w:hAnsi="Arial"/>
          <w:color w:val="15BCA4"/>
          <w:sz w:val="18"/>
        </w:rPr>
        <w:t>[5-6]</w:t>
      </w:r>
      <w:r>
        <w:rPr>
          <w:rFonts w:ascii="Arial" w:eastAsia="Arial" w:hAnsi="Arial"/>
          <w:color w:val="222222"/>
          <w:sz w:val="18"/>
        </w:rPr>
        <w:t>.</w:t>
      </w:r>
    </w:p>
    <w:p w:rsidR="00760D48" w:rsidRDefault="00760D48" w:rsidP="00760D48">
      <w:pPr>
        <w:spacing w:line="246" w:lineRule="exact"/>
        <w:rPr>
          <w:rFonts w:ascii="Times New Roman" w:eastAsia="Times New Roman" w:hAnsi="Times New Roman"/>
        </w:rPr>
      </w:pPr>
    </w:p>
    <w:p w:rsidR="00760D48" w:rsidRDefault="00760D48" w:rsidP="00760D48">
      <w:pPr>
        <w:spacing w:line="309" w:lineRule="auto"/>
        <w:ind w:left="2820" w:right="400"/>
        <w:rPr>
          <w:rFonts w:ascii="Arial" w:eastAsia="Arial" w:hAnsi="Arial"/>
          <w:color w:val="222222"/>
          <w:sz w:val="18"/>
        </w:rPr>
      </w:pPr>
      <w:r>
        <w:rPr>
          <w:rFonts w:ascii="Arial" w:eastAsia="Arial" w:hAnsi="Arial"/>
          <w:color w:val="222222"/>
          <w:sz w:val="18"/>
        </w:rPr>
        <w:t xml:space="preserve">However, more recently, randomized trials have shown that percutaneous coronary intervention (PCI) might be an acceptable alternative for such lesions in certain cases </w:t>
      </w:r>
      <w:r>
        <w:rPr>
          <w:rFonts w:ascii="Arial" w:eastAsia="Arial" w:hAnsi="Arial"/>
          <w:color w:val="15BCA4"/>
          <w:sz w:val="18"/>
        </w:rPr>
        <w:t>[7-10]</w:t>
      </w:r>
      <w:r>
        <w:rPr>
          <w:rFonts w:ascii="Arial" w:eastAsia="Arial" w:hAnsi="Arial"/>
          <w:color w:val="222222"/>
          <w:sz w:val="18"/>
        </w:rPr>
        <w:t xml:space="preserve">. This is particularly true in patients with coronary artery disease of low or intermediate anatomical complexity </w:t>
      </w:r>
      <w:r>
        <w:rPr>
          <w:rFonts w:ascii="Arial" w:eastAsia="Arial" w:hAnsi="Arial"/>
          <w:color w:val="15BCA4"/>
          <w:sz w:val="18"/>
        </w:rPr>
        <w:t>[9]</w:t>
      </w:r>
      <w:r>
        <w:rPr>
          <w:rFonts w:ascii="Arial" w:eastAsia="Arial" w:hAnsi="Arial"/>
          <w:color w:val="222222"/>
          <w:sz w:val="18"/>
        </w:rPr>
        <w:t>. With recent advances in an improved risk factor profile, careful patient selection, newer drug-eluting stents (DES), and improved intravascular imaging modalities, the use of PCI is expanding.</w:t>
      </w:r>
    </w:p>
    <w:p w:rsidR="00760D48" w:rsidRDefault="00760D48" w:rsidP="00760D48">
      <w:pPr>
        <w:spacing w:line="275" w:lineRule="exact"/>
        <w:rPr>
          <w:rFonts w:ascii="Times New Roman" w:eastAsia="Times New Roman" w:hAnsi="Times New Roman"/>
        </w:rPr>
      </w:pPr>
    </w:p>
    <w:p w:rsidR="00760D48" w:rsidRDefault="00760D48" w:rsidP="00760D48">
      <w:pPr>
        <w:spacing w:line="314" w:lineRule="auto"/>
        <w:ind w:left="2820" w:right="160"/>
        <w:rPr>
          <w:rFonts w:ascii="Arial" w:eastAsia="Arial" w:hAnsi="Arial"/>
          <w:color w:val="222222"/>
          <w:sz w:val="18"/>
        </w:rPr>
      </w:pPr>
      <w:r>
        <w:rPr>
          <w:rFonts w:ascii="Arial" w:eastAsia="Arial" w:hAnsi="Arial"/>
          <w:color w:val="222222"/>
          <w:sz w:val="18"/>
        </w:rPr>
        <w:t>The aim of this study was an evaluation of clinical outcomes, including unstable angina, myocardial infarction, target vessel revascularization, and death in patients undergoing left main stem stenting without the use of intravascular imaging. Informed consent was taken from all participants in the study which abided by the Declaration of Helsinki.</w:t>
      </w:r>
    </w:p>
    <w:p w:rsidR="00760D48" w:rsidRDefault="00760D48" w:rsidP="00760D48">
      <w:pPr>
        <w:spacing w:line="197"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15BCA4"/>
          <w:sz w:val="32"/>
        </w:rPr>
      </w:pPr>
      <w:r>
        <w:rPr>
          <w:rFonts w:ascii="Arial" w:eastAsia="Arial" w:hAnsi="Arial"/>
          <w:b/>
          <w:color w:val="15BCA4"/>
          <w:sz w:val="32"/>
        </w:rPr>
        <w:t>Materials And Methods</w:t>
      </w:r>
    </w:p>
    <w:p w:rsidR="00760D48" w:rsidRDefault="00760D48" w:rsidP="00760D48">
      <w:pPr>
        <w:spacing w:line="153"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222222"/>
          <w:sz w:val="26"/>
        </w:rPr>
      </w:pPr>
      <w:r>
        <w:rPr>
          <w:rFonts w:ascii="Arial" w:eastAsia="Arial" w:hAnsi="Arial"/>
          <w:b/>
          <w:color w:val="222222"/>
          <w:sz w:val="26"/>
        </w:rPr>
        <w:t>Enrollment, randomization, and follow-up</w:t>
      </w:r>
    </w:p>
    <w:p w:rsidR="00760D48" w:rsidRDefault="00760D48" w:rsidP="00760D48">
      <w:pPr>
        <w:spacing w:line="143" w:lineRule="exact"/>
        <w:rPr>
          <w:rFonts w:ascii="Times New Roman" w:eastAsia="Times New Roman" w:hAnsi="Times New Roman"/>
        </w:rPr>
      </w:pPr>
    </w:p>
    <w:p w:rsidR="00760D48" w:rsidRDefault="00760D48" w:rsidP="00760D48">
      <w:pPr>
        <w:spacing w:line="308" w:lineRule="auto"/>
        <w:ind w:left="2820" w:right="140"/>
        <w:rPr>
          <w:rFonts w:ascii="Arial" w:eastAsia="Arial" w:hAnsi="Arial"/>
          <w:color w:val="222222"/>
          <w:sz w:val="18"/>
        </w:rPr>
      </w:pPr>
      <w:r>
        <w:rPr>
          <w:rFonts w:ascii="Arial" w:eastAsia="Arial" w:hAnsi="Arial"/>
          <w:color w:val="222222"/>
          <w:sz w:val="18"/>
        </w:rPr>
        <w:t>Patients were assessed for eligibility by interventional cardiologists in collaboration with cardiac surgeons. Inclusion criteria included stenosis of the left main coronary artery of 50% or more, as estimated visually, with a consensus for eligibility for revascularization with either PCI or CABG and patients with a low-to-intermediate anatomical complexity of coronary artery disease (SYNTAX score 32 or less). Exclusion criteria included left main stem disease, along with triple vessel disease, and patients with a high anatomical complexity of coronary artery disease (Synergy Between PCI with Taxus and Cardiac Surgery (SYNTAX) score more than 32).</w:t>
      </w:r>
    </w:p>
    <w:p w:rsidR="00760D48" w:rsidRDefault="00760D48" w:rsidP="00760D48">
      <w:pPr>
        <w:spacing w:line="276" w:lineRule="exact"/>
        <w:rPr>
          <w:rFonts w:ascii="Times New Roman" w:eastAsia="Times New Roman" w:hAnsi="Times New Roman"/>
        </w:rPr>
      </w:pPr>
    </w:p>
    <w:p w:rsidR="00760D48" w:rsidRDefault="00760D48" w:rsidP="00760D48">
      <w:pPr>
        <w:spacing w:line="309" w:lineRule="auto"/>
        <w:ind w:left="2820" w:right="180"/>
        <w:rPr>
          <w:rFonts w:ascii="Arial" w:eastAsia="Arial" w:hAnsi="Arial"/>
          <w:color w:val="222222"/>
          <w:sz w:val="18"/>
        </w:rPr>
      </w:pPr>
      <w:r>
        <w:rPr>
          <w:rFonts w:ascii="Arial" w:eastAsia="Arial" w:hAnsi="Arial"/>
          <w:color w:val="222222"/>
          <w:sz w:val="18"/>
        </w:rPr>
        <w:t>A history was taken and a detailed examination was done for all patients. Twelve-lead electrocardiography was performed before and after the procedure. Levels of the troponin were measured at the baseline and at 12 and 24 hours after the procedure. Clinical follow-up was performed at one month, six months, and one year. Echocardiography was done at the baseline and then at one year during follow-up. Risk factors were managed according to standard protocols, and guideline-directed medical therapy was recommended for all the patients.</w:t>
      </w:r>
    </w:p>
    <w:p w:rsidR="00760D48" w:rsidRDefault="00760D48" w:rsidP="00760D48">
      <w:pPr>
        <w:spacing w:line="243"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222222"/>
          <w:sz w:val="26"/>
        </w:rPr>
      </w:pPr>
      <w:r>
        <w:rPr>
          <w:rFonts w:ascii="Arial" w:eastAsia="Arial" w:hAnsi="Arial"/>
          <w:b/>
          <w:color w:val="222222"/>
          <w:sz w:val="26"/>
        </w:rPr>
        <w:t>Revascularization strategies and medications</w:t>
      </w:r>
    </w:p>
    <w:p w:rsidR="00760D48" w:rsidRDefault="00760D48" w:rsidP="00760D48">
      <w:pPr>
        <w:spacing w:line="179" w:lineRule="exact"/>
        <w:rPr>
          <w:rFonts w:ascii="Times New Roman" w:eastAsia="Times New Roman" w:hAnsi="Times New Roman"/>
        </w:rPr>
      </w:pPr>
    </w:p>
    <w:p w:rsidR="00760D48" w:rsidRDefault="00760D48" w:rsidP="00760D48">
      <w:pPr>
        <w:spacing w:line="311" w:lineRule="auto"/>
        <w:ind w:left="2820" w:right="260"/>
        <w:rPr>
          <w:rFonts w:ascii="Arial" w:eastAsia="Arial" w:hAnsi="Arial"/>
          <w:color w:val="222222"/>
          <w:sz w:val="18"/>
        </w:rPr>
      </w:pPr>
      <w:r>
        <w:rPr>
          <w:rFonts w:ascii="Arial" w:eastAsia="Arial" w:hAnsi="Arial"/>
          <w:color w:val="222222"/>
          <w:sz w:val="18"/>
        </w:rPr>
        <w:t xml:space="preserve">The technique of performing PCI is described in detail elsewhere </w:t>
      </w:r>
      <w:r>
        <w:rPr>
          <w:rFonts w:ascii="Arial" w:eastAsia="Arial" w:hAnsi="Arial"/>
          <w:color w:val="15BCA4"/>
          <w:sz w:val="18"/>
        </w:rPr>
        <w:t>[11]</w:t>
      </w:r>
      <w:r>
        <w:rPr>
          <w:rFonts w:ascii="Arial" w:eastAsia="Arial" w:hAnsi="Arial"/>
          <w:color w:val="222222"/>
          <w:sz w:val="18"/>
        </w:rPr>
        <w:t>. Intravascular ultrasonographic guidance was not used. Drug-eluting stents were deployed in all patients. Anticoagulation was achieved with heparin during the procedure and with glycoprotein (GP) IIb/IIIa inhibitors in the initial 12 hours post procedure. Dual antiplatelet therapy was advised for all patients.</w:t>
      </w:r>
    </w:p>
    <w:p w:rsidR="00760D48" w:rsidRDefault="00760D48" w:rsidP="00760D48">
      <w:pPr>
        <w:spacing w:line="240"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222222"/>
          <w:sz w:val="26"/>
        </w:rPr>
      </w:pPr>
      <w:r>
        <w:rPr>
          <w:rFonts w:ascii="Arial" w:eastAsia="Arial" w:hAnsi="Arial"/>
          <w:b/>
          <w:color w:val="222222"/>
          <w:sz w:val="26"/>
        </w:rPr>
        <w:t>Assessment of risk and follow-up for adverse outcomes</w:t>
      </w:r>
    </w:p>
    <w:p w:rsidR="00760D48" w:rsidRDefault="00760D48" w:rsidP="00760D48">
      <w:pPr>
        <w:spacing w:line="179" w:lineRule="exact"/>
        <w:rPr>
          <w:rFonts w:ascii="Times New Roman" w:eastAsia="Times New Roman" w:hAnsi="Times New Roman"/>
        </w:rPr>
      </w:pPr>
    </w:p>
    <w:p w:rsidR="00760D48" w:rsidRDefault="00760D48" w:rsidP="00760D48">
      <w:pPr>
        <w:spacing w:line="311" w:lineRule="auto"/>
        <w:ind w:left="2820" w:right="140"/>
        <w:rPr>
          <w:rFonts w:ascii="Arial" w:eastAsia="Arial" w:hAnsi="Arial"/>
          <w:color w:val="222222"/>
          <w:sz w:val="18"/>
        </w:rPr>
      </w:pPr>
      <w:r>
        <w:rPr>
          <w:rFonts w:ascii="Arial" w:eastAsia="Arial" w:hAnsi="Arial"/>
          <w:color w:val="222222"/>
          <w:sz w:val="18"/>
        </w:rPr>
        <w:t>A team of cardiologists was involved in the follow-up of patients. Patients were contacted after a year by telephone, as well as scheduled consultations to assess for adverse events. Three patients were lost to follow-up due to change of permanent address and telephone numbers. Outcomes included in major adverse cardiac events (MACE) were cardiac death, death due to other causes, myocardial infarction, unstable angina, and target vessel revascularization (TVR).</w:t>
      </w:r>
    </w:p>
    <w:p w:rsidR="00760D48" w:rsidRDefault="00760D48" w:rsidP="00760D48">
      <w:pPr>
        <w:spacing w:line="240"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222222"/>
          <w:sz w:val="26"/>
        </w:rPr>
      </w:pPr>
      <w:r>
        <w:rPr>
          <w:rFonts w:ascii="Arial" w:eastAsia="Arial" w:hAnsi="Arial"/>
          <w:b/>
          <w:color w:val="222222"/>
          <w:sz w:val="26"/>
        </w:rPr>
        <w:t>Statistics</w:t>
      </w:r>
    </w:p>
    <w:p w:rsidR="00760D48" w:rsidRDefault="00760D48" w:rsidP="00760D48">
      <w:pPr>
        <w:spacing w:line="179" w:lineRule="exact"/>
        <w:rPr>
          <w:rFonts w:ascii="Times New Roman" w:eastAsia="Times New Roman" w:hAnsi="Times New Roman"/>
        </w:rPr>
      </w:pPr>
    </w:p>
    <w:p w:rsidR="00760D48" w:rsidRDefault="00760D48" w:rsidP="00760D48">
      <w:pPr>
        <w:spacing w:line="338" w:lineRule="auto"/>
        <w:ind w:left="2820" w:right="360"/>
        <w:rPr>
          <w:rFonts w:ascii="Arial" w:eastAsia="Arial" w:hAnsi="Arial"/>
          <w:color w:val="222222"/>
          <w:sz w:val="18"/>
        </w:rPr>
      </w:pPr>
      <w:r>
        <w:rPr>
          <w:rFonts w:ascii="Arial" w:eastAsia="Arial" w:hAnsi="Arial"/>
          <w:color w:val="222222"/>
          <w:sz w:val="18"/>
        </w:rPr>
        <w:t>The distribution of variables was assessed using the Kołmogorov-Smirnov test. Statistical analysis results are expressed as the means ± SD. The t-test and one-way analysis of variance</w:t>
      </w:r>
    </w:p>
    <w:p w:rsidR="00760D48" w:rsidRDefault="00760D48" w:rsidP="00760D48">
      <w:pPr>
        <w:spacing w:line="20" w:lineRule="exact"/>
        <w:rPr>
          <w:rFonts w:ascii="Times New Roman" w:eastAsia="Times New Roman" w:hAnsi="Times New Roman"/>
        </w:rPr>
      </w:pPr>
      <w:r>
        <w:rPr>
          <w:rFonts w:ascii="Arial" w:eastAsia="Arial" w:hAnsi="Arial"/>
          <w:noProof/>
          <w:color w:val="222222"/>
          <w:sz w:val="18"/>
          <w:lang w:bidi="ar-SA"/>
        </w:rPr>
        <w:drawing>
          <wp:anchor distT="0" distB="0" distL="114300" distR="114300" simplePos="0" relativeHeight="251677696" behindDoc="1" locked="0" layoutInCell="1" allowOverlap="1">
            <wp:simplePos x="0" y="0"/>
            <wp:positionH relativeFrom="column">
              <wp:posOffset>3810</wp:posOffset>
            </wp:positionH>
            <wp:positionV relativeFrom="paragraph">
              <wp:posOffset>346075</wp:posOffset>
            </wp:positionV>
            <wp:extent cx="6827520" cy="95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7520" cy="952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 w:lineRule="exact"/>
        <w:rPr>
          <w:rFonts w:ascii="Times New Roman" w:eastAsia="Times New Roman" w:hAnsi="Times New Roman"/>
        </w:rPr>
        <w:sectPr w:rsidR="00760D48">
          <w:pgSz w:w="11900" w:h="16840"/>
          <w:pgMar w:top="1146" w:right="580" w:bottom="212" w:left="560" w:header="0" w:footer="0" w:gutter="0"/>
          <w:cols w:space="0" w:equalWidth="0">
            <w:col w:w="107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22" w:lineRule="exact"/>
        <w:rPr>
          <w:rFonts w:ascii="Times New Roman" w:eastAsia="Times New Roman" w:hAnsi="Times New Roman"/>
        </w:rPr>
      </w:pPr>
    </w:p>
    <w:p w:rsidR="00760D48" w:rsidRDefault="00760D48" w:rsidP="00760D48">
      <w:pPr>
        <w:tabs>
          <w:tab w:val="left" w:pos="10240"/>
        </w:tabs>
        <w:spacing w:line="0" w:lineRule="atLeast"/>
        <w:rPr>
          <w:rFonts w:ascii="Arial" w:eastAsia="Arial" w:hAnsi="Arial"/>
          <w:sz w:val="16"/>
        </w:rPr>
      </w:pPr>
      <w:r>
        <w:rPr>
          <w:rFonts w:ascii="Arial" w:eastAsia="Arial" w:hAnsi="Arial"/>
          <w:sz w:val="17"/>
        </w:rPr>
        <w:t>2018 Mahmood et al. Cureus 10(6): e2857. DOI 10.7759/cureus.2857</w:t>
      </w:r>
      <w:r>
        <w:rPr>
          <w:rFonts w:ascii="Times New Roman" w:eastAsia="Times New Roman" w:hAnsi="Times New Roman"/>
        </w:rPr>
        <w:tab/>
      </w:r>
      <w:r>
        <w:rPr>
          <w:rFonts w:ascii="Arial" w:eastAsia="Arial" w:hAnsi="Arial"/>
          <w:sz w:val="16"/>
        </w:rPr>
        <w:t>2 of 10</w:t>
      </w:r>
    </w:p>
    <w:p w:rsidR="00760D48" w:rsidRDefault="00760D48" w:rsidP="00760D48">
      <w:pPr>
        <w:tabs>
          <w:tab w:val="left" w:pos="10240"/>
        </w:tabs>
        <w:spacing w:line="0" w:lineRule="atLeast"/>
        <w:rPr>
          <w:rFonts w:ascii="Arial" w:eastAsia="Arial" w:hAnsi="Arial"/>
          <w:sz w:val="16"/>
        </w:rPr>
        <w:sectPr w:rsidR="00760D48">
          <w:type w:val="continuous"/>
          <w:pgSz w:w="11900" w:h="16840"/>
          <w:pgMar w:top="1146" w:right="580" w:bottom="212" w:left="560" w:header="0" w:footer="0" w:gutter="0"/>
          <w:cols w:space="0" w:equalWidth="0">
            <w:col w:w="10760"/>
          </w:cols>
          <w:docGrid w:linePitch="360"/>
        </w:sectPr>
      </w:pPr>
    </w:p>
    <w:p w:rsidR="00760D48" w:rsidRDefault="00760D48" w:rsidP="00760D48">
      <w:pPr>
        <w:spacing w:line="308" w:lineRule="auto"/>
        <w:ind w:left="2820" w:right="240"/>
        <w:rPr>
          <w:rFonts w:ascii="Arial" w:eastAsia="Arial" w:hAnsi="Arial"/>
          <w:color w:val="222222"/>
          <w:sz w:val="18"/>
        </w:rPr>
      </w:pPr>
      <w:bookmarkStart w:id="2" w:name="page3"/>
      <w:bookmarkEnd w:id="2"/>
      <w:r>
        <w:rPr>
          <w:rFonts w:ascii="Arial" w:eastAsia="Arial" w:hAnsi="Arial"/>
          <w:noProof/>
          <w:sz w:val="16"/>
          <w:lang w:bidi="ar-SA"/>
        </w:rPr>
        <w:lastRenderedPageBreak/>
        <w:drawing>
          <wp:anchor distT="0" distB="0" distL="114300" distR="114300" simplePos="0" relativeHeight="251678720" behindDoc="1" locked="0" layoutInCell="1" allowOverlap="1">
            <wp:simplePos x="0" y="0"/>
            <wp:positionH relativeFrom="page">
              <wp:posOffset>437515</wp:posOffset>
            </wp:positionH>
            <wp:positionV relativeFrom="page">
              <wp:posOffset>354965</wp:posOffset>
            </wp:positionV>
            <wp:extent cx="653415" cy="1460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46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22222"/>
          <w:sz w:val="18"/>
        </w:rPr>
        <w:t>(one-way ANOVA) were performed on normally distributed data. For analysis of nominal data and proportions (hypertension, and smoking), the x2 test was used. Cox proportional hazards analysis were used to identify risk factors for the occurrence of MACE during follow-up. All baseline, demographic, clinical, and angiographic variables were entered into the model. Results are reported as hazard ratios (HRs) and 95% CIs. All statistical tests were two-tailed, and p values were statistically significant at &lt; 0.05. All data were analyzed using the Statistical Package for Social Sciences (SPSS) (IBM SPSS Statistics, Armonk, NY), V.20.0 software.</w:t>
      </w:r>
    </w:p>
    <w:p w:rsidR="00760D48" w:rsidRDefault="00760D48" w:rsidP="00760D48">
      <w:pPr>
        <w:spacing w:line="204"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15BCA4"/>
          <w:sz w:val="32"/>
        </w:rPr>
      </w:pPr>
      <w:r>
        <w:rPr>
          <w:rFonts w:ascii="Arial" w:eastAsia="Arial" w:hAnsi="Arial"/>
          <w:b/>
          <w:color w:val="15BCA4"/>
          <w:sz w:val="32"/>
        </w:rPr>
        <w:t>Results</w:t>
      </w:r>
    </w:p>
    <w:p w:rsidR="00760D48" w:rsidRDefault="00760D48" w:rsidP="00760D48">
      <w:pPr>
        <w:spacing w:line="149" w:lineRule="exact"/>
        <w:rPr>
          <w:rFonts w:ascii="Times New Roman" w:eastAsia="Times New Roman" w:hAnsi="Times New Roman"/>
        </w:rPr>
      </w:pPr>
    </w:p>
    <w:p w:rsidR="00760D48" w:rsidRDefault="00760D48" w:rsidP="00760D48">
      <w:pPr>
        <w:spacing w:line="309" w:lineRule="auto"/>
        <w:ind w:left="2820" w:right="180"/>
        <w:rPr>
          <w:rFonts w:ascii="Arial" w:eastAsia="Arial" w:hAnsi="Arial"/>
          <w:color w:val="222222"/>
          <w:sz w:val="18"/>
        </w:rPr>
      </w:pPr>
      <w:r>
        <w:rPr>
          <w:rFonts w:ascii="Arial" w:eastAsia="Arial" w:hAnsi="Arial"/>
          <w:color w:val="222222"/>
          <w:sz w:val="18"/>
        </w:rPr>
        <w:t>The mean age of our study sample was 59 ± 13.02 years. For the purpose of PCI, only DES (sirolimus, everolimus, rapamycin, zotarolimus) were used. Out of the 40 patients who underwent PCI for left main stem disease, 27 (67.5%) were men and 13 (32.5%) were women. Ten patients (25%) were smokers, while 30 (75%) were nonsmokers; nine (22.5%) patients were overweight, 14 (35%) had diabetes, and 13 (32.5%) were hypertensive. Four (10%) of the 40 patients in our study had multivessel disease.</w:t>
      </w:r>
    </w:p>
    <w:p w:rsidR="00760D48" w:rsidRDefault="00760D48" w:rsidP="00760D48">
      <w:pPr>
        <w:spacing w:line="275" w:lineRule="exact"/>
        <w:rPr>
          <w:rFonts w:ascii="Times New Roman" w:eastAsia="Times New Roman" w:hAnsi="Times New Roman"/>
        </w:rPr>
      </w:pPr>
    </w:p>
    <w:p w:rsidR="00760D48" w:rsidRDefault="00760D48" w:rsidP="00760D48">
      <w:pPr>
        <w:spacing w:line="309" w:lineRule="auto"/>
        <w:ind w:left="2820" w:right="220"/>
        <w:rPr>
          <w:rFonts w:ascii="Arial" w:eastAsia="Arial" w:hAnsi="Arial"/>
          <w:color w:val="222222"/>
          <w:sz w:val="18"/>
        </w:rPr>
      </w:pPr>
      <w:r>
        <w:rPr>
          <w:rFonts w:ascii="Arial" w:eastAsia="Arial" w:hAnsi="Arial"/>
          <w:color w:val="222222"/>
          <w:sz w:val="18"/>
        </w:rPr>
        <w:t xml:space="preserve">No reflow phenomena were found in any of the patients during the procedure. All 40 (100%) patients were given adjunctive treatment with GP IIb/ IIIa antagonists in the catheterization laboratory, as well as for 12 - 24 hours post-procedure. With regard to maintenance therapy after PCI, 100% were receiving aspirin, clopidogrel, and nitrates, 97.5% received beta-blockers, 90% received angiotensin-converting enzyme inhibitors (ACEI), and 45% received diuretics. Baseline characteristics for the study sample are shown in Table </w:t>
      </w:r>
      <w:hyperlink w:anchor="page4" w:history="1">
        <w:r>
          <w:rPr>
            <w:rFonts w:ascii="Arial" w:eastAsia="Arial" w:hAnsi="Arial"/>
            <w:i/>
            <w:color w:val="15BCA4"/>
            <w:sz w:val="18"/>
          </w:rPr>
          <w:t>1</w:t>
        </w:r>
      </w:hyperlink>
      <w:r>
        <w:rPr>
          <w:rFonts w:ascii="Arial" w:eastAsia="Arial" w:hAnsi="Arial"/>
          <w:color w:val="222222"/>
          <w:sz w:val="18"/>
        </w:rPr>
        <w:t>.</w:t>
      </w:r>
    </w:p>
    <w:p w:rsidR="00760D48" w:rsidRDefault="00760D48" w:rsidP="00760D48">
      <w:pPr>
        <w:spacing w:line="20" w:lineRule="exact"/>
        <w:rPr>
          <w:rFonts w:ascii="Times New Roman" w:eastAsia="Times New Roman" w:hAnsi="Times New Roman"/>
        </w:rPr>
      </w:pPr>
      <w:r>
        <w:rPr>
          <w:rFonts w:ascii="Arial" w:eastAsia="Arial" w:hAnsi="Arial"/>
          <w:noProof/>
          <w:color w:val="222222"/>
          <w:sz w:val="18"/>
          <w:lang w:bidi="ar-SA"/>
        </w:rPr>
        <w:drawing>
          <wp:anchor distT="0" distB="0" distL="114300" distR="114300" simplePos="0" relativeHeight="251679744" behindDoc="1" locked="0" layoutInCell="1" allowOverlap="1">
            <wp:simplePos x="0" y="0"/>
            <wp:positionH relativeFrom="column">
              <wp:posOffset>3810</wp:posOffset>
            </wp:positionH>
            <wp:positionV relativeFrom="paragraph">
              <wp:posOffset>5455920</wp:posOffset>
            </wp:positionV>
            <wp:extent cx="6827520" cy="952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7520" cy="952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 w:lineRule="exact"/>
        <w:rPr>
          <w:rFonts w:ascii="Times New Roman" w:eastAsia="Times New Roman" w:hAnsi="Times New Roman"/>
        </w:rPr>
        <w:sectPr w:rsidR="00760D48">
          <w:pgSz w:w="11900" w:h="16840"/>
          <w:pgMar w:top="1146" w:right="580" w:bottom="212" w:left="560" w:header="0" w:footer="0" w:gutter="0"/>
          <w:cols w:space="0" w:equalWidth="0">
            <w:col w:w="107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68" w:lineRule="exact"/>
        <w:rPr>
          <w:rFonts w:ascii="Times New Roman" w:eastAsia="Times New Roman" w:hAnsi="Times New Roman"/>
        </w:rPr>
      </w:pPr>
    </w:p>
    <w:p w:rsidR="00760D48" w:rsidRDefault="00760D48" w:rsidP="00760D48">
      <w:pPr>
        <w:tabs>
          <w:tab w:val="left" w:pos="10240"/>
        </w:tabs>
        <w:spacing w:line="0" w:lineRule="atLeast"/>
        <w:rPr>
          <w:rFonts w:ascii="Arial" w:eastAsia="Arial" w:hAnsi="Arial"/>
          <w:sz w:val="16"/>
        </w:rPr>
      </w:pPr>
      <w:r>
        <w:rPr>
          <w:rFonts w:ascii="Arial" w:eastAsia="Arial" w:hAnsi="Arial"/>
          <w:sz w:val="17"/>
        </w:rPr>
        <w:t>2018 Mahmood et al. Cureus 10(6): e2857. DOI 10.7759/cureus.2857</w:t>
      </w:r>
      <w:r>
        <w:rPr>
          <w:rFonts w:ascii="Times New Roman" w:eastAsia="Times New Roman" w:hAnsi="Times New Roman"/>
        </w:rPr>
        <w:tab/>
      </w:r>
      <w:r>
        <w:rPr>
          <w:rFonts w:ascii="Arial" w:eastAsia="Arial" w:hAnsi="Arial"/>
          <w:sz w:val="16"/>
        </w:rPr>
        <w:t>3 of 10</w:t>
      </w:r>
    </w:p>
    <w:p w:rsidR="00760D48" w:rsidRDefault="00760D48" w:rsidP="00760D48">
      <w:pPr>
        <w:tabs>
          <w:tab w:val="left" w:pos="10240"/>
        </w:tabs>
        <w:spacing w:line="0" w:lineRule="atLeast"/>
        <w:rPr>
          <w:rFonts w:ascii="Arial" w:eastAsia="Arial" w:hAnsi="Arial"/>
          <w:sz w:val="16"/>
        </w:rPr>
        <w:sectPr w:rsidR="00760D48">
          <w:type w:val="continuous"/>
          <w:pgSz w:w="11900" w:h="16840"/>
          <w:pgMar w:top="1146" w:right="580" w:bottom="212" w:left="560" w:header="0" w:footer="0" w:gutter="0"/>
          <w:cols w:space="0" w:equalWidth="0">
            <w:col w:w="10760"/>
          </w:cols>
          <w:docGrid w:linePitch="360"/>
        </w:sectPr>
      </w:pPr>
    </w:p>
    <w:tbl>
      <w:tblPr>
        <w:tblW w:w="0" w:type="auto"/>
        <w:tblInd w:w="170" w:type="dxa"/>
        <w:tblLayout w:type="fixed"/>
        <w:tblCellMar>
          <w:left w:w="0" w:type="dxa"/>
          <w:right w:w="0" w:type="dxa"/>
        </w:tblCellMar>
        <w:tblLook w:val="0000" w:firstRow="0" w:lastRow="0" w:firstColumn="0" w:lastColumn="0" w:noHBand="0" w:noVBand="0"/>
      </w:tblPr>
      <w:tblGrid>
        <w:gridCol w:w="180"/>
        <w:gridCol w:w="40"/>
        <w:gridCol w:w="6660"/>
        <w:gridCol w:w="40"/>
        <w:gridCol w:w="3340"/>
        <w:gridCol w:w="60"/>
        <w:gridCol w:w="160"/>
      </w:tblGrid>
      <w:tr w:rsidR="00760D48" w:rsidTr="00AB18F6">
        <w:trPr>
          <w:trHeight w:val="195"/>
        </w:trPr>
        <w:tc>
          <w:tcPr>
            <w:tcW w:w="180" w:type="dxa"/>
            <w:tcBorders>
              <w:top w:val="single" w:sz="8" w:space="0" w:color="DDDDDD"/>
              <w:lef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bookmarkStart w:id="3" w:name="page4"/>
            <w:bookmarkEnd w:id="3"/>
            <w:r>
              <w:rPr>
                <w:rFonts w:ascii="Arial" w:eastAsia="Arial" w:hAnsi="Arial"/>
                <w:noProof/>
                <w:sz w:val="16"/>
                <w:lang w:bidi="ar-SA"/>
              </w:rPr>
              <w:lastRenderedPageBreak/>
              <w:drawing>
                <wp:anchor distT="0" distB="0" distL="114300" distR="114300" simplePos="0" relativeHeight="251680768" behindDoc="1" locked="0" layoutInCell="1" allowOverlap="1">
                  <wp:simplePos x="0" y="0"/>
                  <wp:positionH relativeFrom="page">
                    <wp:posOffset>437515</wp:posOffset>
                  </wp:positionH>
                  <wp:positionV relativeFrom="page">
                    <wp:posOffset>354965</wp:posOffset>
                  </wp:positionV>
                  <wp:extent cx="653415" cy="1460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46050"/>
                          </a:xfrm>
                          <a:prstGeom prst="rect">
                            <a:avLst/>
                          </a:prstGeom>
                          <a:noFill/>
                        </pic:spPr>
                      </pic:pic>
                    </a:graphicData>
                  </a:graphic>
                  <wp14:sizeRelH relativeFrom="page">
                    <wp14:pctWidth>0</wp14:pctWidth>
                  </wp14:sizeRelH>
                  <wp14:sizeRelV relativeFrom="page">
                    <wp14:pctHeight>0</wp14:pctHeight>
                  </wp14:sizeRelV>
                </wp:anchor>
              </w:drawing>
            </w:r>
          </w:p>
        </w:tc>
        <w:tc>
          <w:tcPr>
            <w:tcW w:w="4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666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4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334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6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160" w:type="dxa"/>
            <w:tcBorders>
              <w:top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r>
      <w:tr w:rsidR="00760D48" w:rsidTr="00AB18F6">
        <w:trPr>
          <w:trHeight w:val="364"/>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ECECEC"/>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Index</w:t>
            </w: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340" w:type="dxa"/>
            <w:shd w:val="clear" w:color="auto" w:fill="ECECEC"/>
            <w:vAlign w:val="bottom"/>
          </w:tcPr>
          <w:p w:rsidR="00760D48" w:rsidRDefault="00760D48" w:rsidP="00AB18F6">
            <w:pPr>
              <w:spacing w:line="0" w:lineRule="atLeast"/>
              <w:ind w:left="60"/>
              <w:rPr>
                <w:rFonts w:ascii="Arial" w:eastAsia="Arial" w:hAnsi="Arial"/>
                <w:b/>
                <w:color w:val="222222"/>
                <w:sz w:val="18"/>
              </w:rPr>
            </w:pPr>
            <w:r>
              <w:rPr>
                <w:rFonts w:ascii="Arial" w:eastAsia="Arial" w:hAnsi="Arial"/>
                <w:b/>
                <w:color w:val="222222"/>
                <w:sz w:val="18"/>
              </w:rPr>
              <w:t>Frequency (n/%)</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6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6660" w:type="dxa"/>
            <w:shd w:val="clear" w:color="auto" w:fill="ECECEC"/>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3340" w:type="dxa"/>
            <w:shd w:val="clear" w:color="auto" w:fill="ECECEC"/>
            <w:vAlign w:val="bottom"/>
          </w:tcPr>
          <w:p w:rsidR="00760D48" w:rsidRDefault="00760D48" w:rsidP="00AB18F6">
            <w:pPr>
              <w:spacing w:line="0" w:lineRule="atLeast"/>
              <w:rPr>
                <w:rFonts w:ascii="Times New Roman" w:eastAsia="Times New Roman" w:hAnsi="Times New Roman"/>
                <w:sz w:val="5"/>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r>
      <w:tr w:rsidR="00760D48" w:rsidTr="00AB18F6">
        <w:trPr>
          <w:trHeight w:val="31"/>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666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3380" w:type="dxa"/>
            <w:gridSpan w:val="2"/>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
              </w:rPr>
            </w:pPr>
          </w:p>
        </w:tc>
      </w:tr>
      <w:tr w:rsidR="00760D48" w:rsidTr="00AB18F6">
        <w:trPr>
          <w:trHeight w:val="492"/>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F9F9F9"/>
            <w:vAlign w:val="bottom"/>
          </w:tcPr>
          <w:p w:rsidR="00760D48" w:rsidRDefault="00760D48" w:rsidP="00AB18F6">
            <w:pPr>
              <w:spacing w:line="0" w:lineRule="atLeast"/>
              <w:ind w:left="80"/>
              <w:rPr>
                <w:rFonts w:ascii="Arial" w:eastAsia="Arial" w:hAnsi="Arial"/>
                <w:b/>
                <w:color w:val="222222"/>
                <w:sz w:val="30"/>
                <w:vertAlign w:val="superscript"/>
              </w:rPr>
            </w:pPr>
            <w:r>
              <w:rPr>
                <w:rFonts w:ascii="Arial" w:eastAsia="Arial" w:hAnsi="Arial"/>
                <w:b/>
                <w:color w:val="222222"/>
                <w:sz w:val="18"/>
              </w:rPr>
              <w:t>Age</w:t>
            </w:r>
            <w:r>
              <w:rPr>
                <w:rFonts w:ascii="Arial" w:eastAsia="Arial" w:hAnsi="Arial"/>
                <w:b/>
                <w:color w:val="222222"/>
                <w:sz w:val="30"/>
                <w:vertAlign w:val="superscript"/>
              </w:rPr>
              <w:t>a</w:t>
            </w: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340" w:type="dxa"/>
            <w:shd w:val="clear" w:color="auto" w:fill="F9F9F9"/>
            <w:vAlign w:val="bottom"/>
          </w:tcPr>
          <w:p w:rsidR="00760D48" w:rsidRDefault="00760D48" w:rsidP="00AB18F6">
            <w:pPr>
              <w:spacing w:line="0" w:lineRule="atLeast"/>
              <w:ind w:left="60"/>
              <w:rPr>
                <w:rFonts w:ascii="Arial" w:eastAsia="Arial" w:hAnsi="Arial"/>
                <w:color w:val="222222"/>
                <w:sz w:val="18"/>
              </w:rPr>
            </w:pPr>
            <w:r>
              <w:rPr>
                <w:rFonts w:ascii="Arial" w:eastAsia="Arial" w:hAnsi="Arial"/>
                <w:color w:val="222222"/>
                <w:sz w:val="18"/>
              </w:rPr>
              <w:t>59</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395"/>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auto"/>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Gender:</w:t>
            </w: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3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9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660" w:type="dxa"/>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3380" w:type="dxa"/>
            <w:gridSpan w:val="2"/>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r>
      <w:tr w:rsidR="00760D48" w:rsidTr="00AB18F6">
        <w:trPr>
          <w:trHeight w:val="348"/>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F9F9F9"/>
            <w:vAlign w:val="bottom"/>
          </w:tcPr>
          <w:p w:rsidR="00760D48" w:rsidRDefault="00760D48" w:rsidP="00AB18F6">
            <w:pPr>
              <w:spacing w:line="0" w:lineRule="atLeast"/>
              <w:ind w:left="840"/>
              <w:rPr>
                <w:rFonts w:ascii="Arial" w:eastAsia="Arial" w:hAnsi="Arial"/>
                <w:i/>
                <w:color w:val="222222"/>
                <w:sz w:val="18"/>
              </w:rPr>
            </w:pPr>
            <w:r>
              <w:rPr>
                <w:rFonts w:ascii="Arial" w:eastAsia="Arial" w:hAnsi="Arial"/>
                <w:i/>
                <w:color w:val="222222"/>
                <w:sz w:val="18"/>
              </w:rPr>
              <w:t>Males</w:t>
            </w: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340" w:type="dxa"/>
            <w:shd w:val="clear" w:color="auto" w:fill="F9F9F9"/>
            <w:vAlign w:val="bottom"/>
          </w:tcPr>
          <w:p w:rsidR="00760D48" w:rsidRDefault="00760D48" w:rsidP="00AB18F6">
            <w:pPr>
              <w:spacing w:line="0" w:lineRule="atLeast"/>
              <w:ind w:left="60"/>
              <w:rPr>
                <w:rFonts w:ascii="Arial" w:eastAsia="Arial" w:hAnsi="Arial"/>
                <w:color w:val="222222"/>
                <w:sz w:val="18"/>
              </w:rPr>
            </w:pPr>
            <w:r>
              <w:rPr>
                <w:rFonts w:ascii="Arial" w:eastAsia="Arial" w:hAnsi="Arial"/>
                <w:color w:val="222222"/>
                <w:sz w:val="18"/>
              </w:rPr>
              <w:t>27/67.5</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82"/>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66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334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r>
      <w:tr w:rsidR="00760D48" w:rsidTr="00AB18F6">
        <w:trPr>
          <w:trHeight w:val="379"/>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auto"/>
            <w:vAlign w:val="bottom"/>
          </w:tcPr>
          <w:p w:rsidR="00760D48" w:rsidRDefault="00760D48" w:rsidP="00AB18F6">
            <w:pPr>
              <w:spacing w:line="0" w:lineRule="atLeast"/>
              <w:ind w:left="780"/>
              <w:rPr>
                <w:rFonts w:ascii="Arial" w:eastAsia="Arial" w:hAnsi="Arial"/>
                <w:i/>
                <w:color w:val="222222"/>
                <w:sz w:val="18"/>
              </w:rPr>
            </w:pPr>
            <w:r>
              <w:rPr>
                <w:rFonts w:ascii="Arial" w:eastAsia="Arial" w:hAnsi="Arial"/>
                <w:i/>
                <w:color w:val="222222"/>
                <w:sz w:val="18"/>
              </w:rPr>
              <w:t>Females</w:t>
            </w:r>
          </w:p>
        </w:tc>
        <w:tc>
          <w:tcPr>
            <w:tcW w:w="338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13/32.5</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112"/>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666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3380" w:type="dxa"/>
            <w:gridSpan w:val="2"/>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9"/>
              </w:rPr>
            </w:pPr>
          </w:p>
        </w:tc>
      </w:tr>
      <w:tr w:rsidR="00760D48" w:rsidTr="00AB18F6">
        <w:trPr>
          <w:trHeight w:val="364"/>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F9F9F9"/>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Smoking</w:t>
            </w: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340" w:type="dxa"/>
            <w:shd w:val="clear" w:color="auto" w:fill="F9F9F9"/>
            <w:vAlign w:val="bottom"/>
          </w:tcPr>
          <w:p w:rsidR="00760D48" w:rsidRDefault="00760D48" w:rsidP="00AB18F6">
            <w:pPr>
              <w:spacing w:line="0" w:lineRule="atLeast"/>
              <w:ind w:left="60"/>
              <w:rPr>
                <w:rFonts w:ascii="Arial" w:eastAsia="Arial" w:hAnsi="Arial"/>
                <w:color w:val="222222"/>
                <w:sz w:val="18"/>
              </w:rPr>
            </w:pPr>
            <w:r>
              <w:rPr>
                <w:rFonts w:ascii="Arial" w:eastAsia="Arial" w:hAnsi="Arial"/>
                <w:color w:val="222222"/>
                <w:sz w:val="18"/>
              </w:rPr>
              <w:t>10/25</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6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666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334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r>
      <w:tr w:rsidR="00760D48" w:rsidTr="00AB18F6">
        <w:trPr>
          <w:trHeight w:val="395"/>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auto"/>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BMI</w:t>
            </w:r>
          </w:p>
        </w:tc>
        <w:tc>
          <w:tcPr>
            <w:tcW w:w="338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9/22.5</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9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660" w:type="dxa"/>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3380" w:type="dxa"/>
            <w:gridSpan w:val="2"/>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r>
      <w:tr w:rsidR="00760D48" w:rsidTr="00AB18F6">
        <w:trPr>
          <w:trHeight w:val="364"/>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F9F9F9"/>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Diabetes</w:t>
            </w: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340" w:type="dxa"/>
            <w:shd w:val="clear" w:color="auto" w:fill="F9F9F9"/>
            <w:vAlign w:val="bottom"/>
          </w:tcPr>
          <w:p w:rsidR="00760D48" w:rsidRDefault="00760D48" w:rsidP="00AB18F6">
            <w:pPr>
              <w:spacing w:line="0" w:lineRule="atLeast"/>
              <w:ind w:left="60"/>
              <w:rPr>
                <w:rFonts w:ascii="Arial" w:eastAsia="Arial" w:hAnsi="Arial"/>
                <w:color w:val="222222"/>
                <w:sz w:val="18"/>
              </w:rPr>
            </w:pPr>
            <w:r>
              <w:rPr>
                <w:rFonts w:ascii="Arial" w:eastAsia="Arial" w:hAnsi="Arial"/>
                <w:color w:val="222222"/>
                <w:sz w:val="18"/>
              </w:rPr>
              <w:t>14/35</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6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666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334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r>
      <w:tr w:rsidR="00760D48" w:rsidTr="00AB18F6">
        <w:trPr>
          <w:trHeight w:val="395"/>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auto"/>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Hypertension</w:t>
            </w:r>
          </w:p>
        </w:tc>
        <w:tc>
          <w:tcPr>
            <w:tcW w:w="338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13/32.5</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9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660" w:type="dxa"/>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3380" w:type="dxa"/>
            <w:gridSpan w:val="2"/>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r>
      <w:tr w:rsidR="00760D48" w:rsidTr="00AB18F6">
        <w:trPr>
          <w:trHeight w:val="364"/>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F9F9F9"/>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Multivessel disease</w:t>
            </w: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340" w:type="dxa"/>
            <w:shd w:val="clear" w:color="auto" w:fill="F9F9F9"/>
            <w:vAlign w:val="bottom"/>
          </w:tcPr>
          <w:p w:rsidR="00760D48" w:rsidRDefault="00760D48" w:rsidP="00AB18F6">
            <w:pPr>
              <w:spacing w:line="0" w:lineRule="atLeast"/>
              <w:ind w:left="60"/>
              <w:rPr>
                <w:rFonts w:ascii="Arial" w:eastAsia="Arial" w:hAnsi="Arial"/>
                <w:color w:val="222222"/>
                <w:sz w:val="18"/>
              </w:rPr>
            </w:pPr>
            <w:r>
              <w:rPr>
                <w:rFonts w:ascii="Arial" w:eastAsia="Arial" w:hAnsi="Arial"/>
                <w:color w:val="222222"/>
                <w:sz w:val="18"/>
              </w:rPr>
              <w:t>4/10</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6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666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334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r>
      <w:tr w:rsidR="00760D48" w:rsidTr="00AB18F6">
        <w:trPr>
          <w:trHeight w:val="553"/>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auto"/>
            <w:vAlign w:val="bottom"/>
          </w:tcPr>
          <w:p w:rsidR="00760D48" w:rsidRDefault="00760D48" w:rsidP="00AB18F6">
            <w:pPr>
              <w:spacing w:line="0" w:lineRule="atLeast"/>
              <w:ind w:left="80"/>
              <w:rPr>
                <w:rFonts w:ascii="Arial" w:eastAsia="Arial" w:hAnsi="Arial"/>
                <w:b/>
                <w:color w:val="222222"/>
                <w:sz w:val="30"/>
                <w:vertAlign w:val="superscript"/>
              </w:rPr>
            </w:pPr>
            <w:r>
              <w:rPr>
                <w:rFonts w:ascii="Arial" w:eastAsia="Arial" w:hAnsi="Arial"/>
                <w:b/>
                <w:color w:val="222222"/>
                <w:sz w:val="18"/>
              </w:rPr>
              <w:t>Ejection Fraction</w:t>
            </w:r>
            <w:r>
              <w:rPr>
                <w:rFonts w:ascii="Arial" w:eastAsia="Arial" w:hAnsi="Arial"/>
                <w:b/>
                <w:color w:val="222222"/>
                <w:sz w:val="30"/>
                <w:vertAlign w:val="superscript"/>
              </w:rPr>
              <w:t>b</w:t>
            </w:r>
          </w:p>
        </w:tc>
        <w:tc>
          <w:tcPr>
            <w:tcW w:w="338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45±12</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364"/>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F9F9F9"/>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Aspirin</w:t>
            </w: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340" w:type="dxa"/>
            <w:shd w:val="clear" w:color="auto" w:fill="F9F9F9"/>
            <w:vAlign w:val="bottom"/>
          </w:tcPr>
          <w:p w:rsidR="00760D48" w:rsidRDefault="00760D48" w:rsidP="00AB18F6">
            <w:pPr>
              <w:spacing w:line="0" w:lineRule="atLeast"/>
              <w:ind w:left="60"/>
              <w:rPr>
                <w:rFonts w:ascii="Arial" w:eastAsia="Arial" w:hAnsi="Arial"/>
                <w:color w:val="222222"/>
                <w:sz w:val="18"/>
              </w:rPr>
            </w:pPr>
            <w:r>
              <w:rPr>
                <w:rFonts w:ascii="Arial" w:eastAsia="Arial" w:hAnsi="Arial"/>
                <w:color w:val="222222"/>
                <w:sz w:val="18"/>
              </w:rPr>
              <w:t>40/100</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6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666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334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r>
      <w:tr w:rsidR="00760D48" w:rsidTr="00AB18F6">
        <w:trPr>
          <w:trHeight w:val="395"/>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auto"/>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Clopidogrel</w:t>
            </w:r>
          </w:p>
        </w:tc>
        <w:tc>
          <w:tcPr>
            <w:tcW w:w="338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40/100</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9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660" w:type="dxa"/>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3380" w:type="dxa"/>
            <w:gridSpan w:val="2"/>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r>
      <w:tr w:rsidR="00760D48" w:rsidTr="00AB18F6">
        <w:trPr>
          <w:trHeight w:val="364"/>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F9F9F9"/>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Beta Blockers</w:t>
            </w: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340" w:type="dxa"/>
            <w:shd w:val="clear" w:color="auto" w:fill="F9F9F9"/>
            <w:vAlign w:val="bottom"/>
          </w:tcPr>
          <w:p w:rsidR="00760D48" w:rsidRDefault="00760D48" w:rsidP="00AB18F6">
            <w:pPr>
              <w:spacing w:line="0" w:lineRule="atLeast"/>
              <w:ind w:left="60"/>
              <w:rPr>
                <w:rFonts w:ascii="Arial" w:eastAsia="Arial" w:hAnsi="Arial"/>
                <w:color w:val="222222"/>
                <w:sz w:val="18"/>
              </w:rPr>
            </w:pPr>
            <w:r>
              <w:rPr>
                <w:rFonts w:ascii="Arial" w:eastAsia="Arial" w:hAnsi="Arial"/>
                <w:color w:val="222222"/>
                <w:sz w:val="18"/>
              </w:rPr>
              <w:t>39/97.5</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6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666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334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r>
      <w:tr w:rsidR="00760D48" w:rsidTr="00AB18F6">
        <w:trPr>
          <w:trHeight w:val="395"/>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auto"/>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ACEI</w:t>
            </w:r>
          </w:p>
        </w:tc>
        <w:tc>
          <w:tcPr>
            <w:tcW w:w="338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36/90</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9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660" w:type="dxa"/>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3380" w:type="dxa"/>
            <w:gridSpan w:val="2"/>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r>
      <w:tr w:rsidR="00760D48" w:rsidTr="00AB18F6">
        <w:trPr>
          <w:trHeight w:val="364"/>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F9F9F9"/>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Nitrates</w:t>
            </w: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340" w:type="dxa"/>
            <w:shd w:val="clear" w:color="auto" w:fill="F9F9F9"/>
            <w:vAlign w:val="bottom"/>
          </w:tcPr>
          <w:p w:rsidR="00760D48" w:rsidRDefault="00760D48" w:rsidP="00AB18F6">
            <w:pPr>
              <w:spacing w:line="0" w:lineRule="atLeast"/>
              <w:ind w:left="60"/>
              <w:rPr>
                <w:rFonts w:ascii="Arial" w:eastAsia="Arial" w:hAnsi="Arial"/>
                <w:color w:val="222222"/>
                <w:sz w:val="18"/>
              </w:rPr>
            </w:pPr>
            <w:r>
              <w:rPr>
                <w:rFonts w:ascii="Arial" w:eastAsia="Arial" w:hAnsi="Arial"/>
                <w:color w:val="222222"/>
                <w:sz w:val="18"/>
              </w:rPr>
              <w:t>40/100</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6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666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3340" w:type="dxa"/>
            <w:shd w:val="clear" w:color="auto" w:fill="F9F9F9"/>
            <w:vAlign w:val="bottom"/>
          </w:tcPr>
          <w:p w:rsidR="00760D48" w:rsidRDefault="00760D48" w:rsidP="00AB18F6">
            <w:pPr>
              <w:spacing w:line="0" w:lineRule="atLeast"/>
              <w:rPr>
                <w:rFonts w:ascii="Times New Roman" w:eastAsia="Times New Roman" w:hAnsi="Times New Roman"/>
                <w:sz w:val="5"/>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r>
      <w:tr w:rsidR="00760D48" w:rsidTr="00AB18F6">
        <w:trPr>
          <w:trHeight w:val="395"/>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660" w:type="dxa"/>
            <w:shd w:val="clear" w:color="auto" w:fill="auto"/>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Diuretics</w:t>
            </w:r>
          </w:p>
        </w:tc>
        <w:tc>
          <w:tcPr>
            <w:tcW w:w="338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18/45</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9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4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66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4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334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60" w:type="dxa"/>
            <w:tcBorders>
              <w:bottom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8"/>
              </w:rPr>
            </w:pPr>
          </w:p>
        </w:tc>
      </w:tr>
      <w:tr w:rsidR="00760D48" w:rsidTr="00AB18F6">
        <w:trPr>
          <w:trHeight w:val="149"/>
        </w:trPr>
        <w:tc>
          <w:tcPr>
            <w:tcW w:w="180" w:type="dxa"/>
            <w:tcBorders>
              <w:left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4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666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4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334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6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60" w:type="dxa"/>
            <w:tcBorders>
              <w:bottom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r>
    </w:tbl>
    <w:p w:rsidR="00760D48" w:rsidRDefault="00760D48" w:rsidP="00760D48">
      <w:pPr>
        <w:spacing w:line="20" w:lineRule="exact"/>
        <w:rPr>
          <w:rFonts w:ascii="Times New Roman" w:eastAsia="Times New Roman" w:hAnsi="Times New Roman"/>
        </w:rPr>
      </w:pPr>
      <w:r>
        <w:rPr>
          <w:rFonts w:ascii="Times New Roman" w:eastAsia="Times New Roman" w:hAnsi="Times New Roman"/>
          <w:noProof/>
          <w:sz w:val="12"/>
          <w:lang w:bidi="ar-SA"/>
        </w:rPr>
        <w:drawing>
          <wp:anchor distT="0" distB="0" distL="114300" distR="114300" simplePos="0" relativeHeight="251681792" behindDoc="1" locked="0" layoutInCell="1" allowOverlap="1">
            <wp:simplePos x="0" y="0"/>
            <wp:positionH relativeFrom="column">
              <wp:posOffset>101600</wp:posOffset>
            </wp:positionH>
            <wp:positionV relativeFrom="paragraph">
              <wp:posOffset>29210</wp:posOffset>
            </wp:positionV>
            <wp:extent cx="6652260" cy="16383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2260" cy="163830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54" w:lineRule="exact"/>
        <w:rPr>
          <w:rFonts w:ascii="Times New Roman" w:eastAsia="Times New Roman" w:hAnsi="Times New Roman"/>
        </w:rPr>
      </w:pPr>
    </w:p>
    <w:p w:rsidR="00760D48" w:rsidRDefault="00760D48" w:rsidP="00760D48">
      <w:pPr>
        <w:spacing w:line="0" w:lineRule="atLeast"/>
        <w:ind w:left="340"/>
        <w:rPr>
          <w:rFonts w:ascii="Arial" w:eastAsia="Arial" w:hAnsi="Arial"/>
          <w:b/>
          <w:color w:val="222222"/>
          <w:sz w:val="25"/>
        </w:rPr>
      </w:pPr>
      <w:r>
        <w:rPr>
          <w:rFonts w:ascii="Arial" w:eastAsia="Arial" w:hAnsi="Arial"/>
          <w:b/>
          <w:color w:val="222222"/>
          <w:sz w:val="25"/>
        </w:rPr>
        <w:t>TABLE 1: Baseline Characteristics of Patients Included in Study</w:t>
      </w:r>
    </w:p>
    <w:p w:rsidR="00760D48" w:rsidRDefault="00760D48" w:rsidP="00760D48">
      <w:pPr>
        <w:spacing w:line="144" w:lineRule="exact"/>
        <w:rPr>
          <w:rFonts w:ascii="Times New Roman" w:eastAsia="Times New Roman" w:hAnsi="Times New Roman"/>
        </w:rPr>
      </w:pPr>
    </w:p>
    <w:p w:rsidR="00760D48" w:rsidRDefault="00760D48" w:rsidP="00760D48">
      <w:pPr>
        <w:widowControl/>
        <w:numPr>
          <w:ilvl w:val="0"/>
          <w:numId w:val="3"/>
        </w:numPr>
        <w:tabs>
          <w:tab w:val="left" w:pos="460"/>
        </w:tabs>
        <w:autoSpaceDE/>
        <w:autoSpaceDN/>
        <w:spacing w:line="0" w:lineRule="atLeast"/>
        <w:ind w:left="460" w:hanging="116"/>
        <w:rPr>
          <w:rFonts w:ascii="Arial" w:eastAsia="Arial" w:hAnsi="Arial"/>
          <w:color w:val="222222"/>
          <w:sz w:val="28"/>
          <w:vertAlign w:val="superscript"/>
        </w:rPr>
      </w:pPr>
      <w:r>
        <w:rPr>
          <w:rFonts w:ascii="Arial" w:eastAsia="Arial" w:hAnsi="Arial"/>
          <w:color w:val="222222"/>
          <w:sz w:val="17"/>
        </w:rPr>
        <w:t>Expressed as mean in years</w:t>
      </w:r>
    </w:p>
    <w:p w:rsidR="00760D48" w:rsidRDefault="00760D48" w:rsidP="00760D48">
      <w:pPr>
        <w:spacing w:line="246" w:lineRule="exact"/>
        <w:rPr>
          <w:rFonts w:ascii="Times New Roman" w:eastAsia="Times New Roman" w:hAnsi="Times New Roman"/>
        </w:rPr>
      </w:pPr>
    </w:p>
    <w:p w:rsidR="00760D48" w:rsidRDefault="00760D48" w:rsidP="00760D48">
      <w:pPr>
        <w:widowControl/>
        <w:numPr>
          <w:ilvl w:val="0"/>
          <w:numId w:val="4"/>
        </w:numPr>
        <w:tabs>
          <w:tab w:val="left" w:pos="460"/>
        </w:tabs>
        <w:autoSpaceDE/>
        <w:autoSpaceDN/>
        <w:spacing w:line="0" w:lineRule="atLeast"/>
        <w:ind w:left="460" w:hanging="116"/>
        <w:rPr>
          <w:rFonts w:ascii="Arial" w:eastAsia="Arial" w:hAnsi="Arial"/>
          <w:color w:val="222222"/>
          <w:sz w:val="28"/>
          <w:vertAlign w:val="superscript"/>
        </w:rPr>
      </w:pPr>
      <w:r>
        <w:rPr>
          <w:rFonts w:ascii="Arial" w:eastAsia="Arial" w:hAnsi="Arial"/>
          <w:color w:val="222222"/>
          <w:sz w:val="17"/>
        </w:rPr>
        <w:t>Expresses as mean with standard deviation</w:t>
      </w:r>
    </w:p>
    <w:p w:rsidR="00760D48" w:rsidRDefault="00760D48" w:rsidP="00760D48">
      <w:pPr>
        <w:spacing w:line="268" w:lineRule="exact"/>
        <w:rPr>
          <w:rFonts w:ascii="Times New Roman" w:eastAsia="Times New Roman" w:hAnsi="Times New Roman"/>
        </w:rPr>
      </w:pPr>
    </w:p>
    <w:p w:rsidR="00760D48" w:rsidRDefault="00760D48" w:rsidP="00760D48">
      <w:pPr>
        <w:spacing w:line="0" w:lineRule="atLeast"/>
        <w:ind w:left="340"/>
        <w:rPr>
          <w:rFonts w:ascii="Arial" w:eastAsia="Arial" w:hAnsi="Arial"/>
          <w:color w:val="222222"/>
          <w:sz w:val="17"/>
        </w:rPr>
      </w:pPr>
      <w:r>
        <w:rPr>
          <w:rFonts w:ascii="Arial" w:eastAsia="Arial" w:hAnsi="Arial"/>
          <w:color w:val="222222"/>
          <w:sz w:val="17"/>
        </w:rPr>
        <w:t>n: number; BMI: body mass index; ACEI: angiotensin converting enzyme inhibitors</w:t>
      </w:r>
    </w:p>
    <w:p w:rsidR="00760D48" w:rsidRDefault="00760D48" w:rsidP="00760D48">
      <w:pPr>
        <w:spacing w:line="20" w:lineRule="exact"/>
        <w:rPr>
          <w:rFonts w:ascii="Times New Roman" w:eastAsia="Times New Roman" w:hAnsi="Times New Roman"/>
        </w:rPr>
      </w:pPr>
      <w:r>
        <w:rPr>
          <w:rFonts w:ascii="Arial" w:eastAsia="Arial" w:hAnsi="Arial"/>
          <w:noProof/>
          <w:color w:val="222222"/>
          <w:sz w:val="17"/>
          <w:lang w:bidi="ar-SA"/>
        </w:rPr>
        <w:drawing>
          <wp:anchor distT="0" distB="0" distL="114300" distR="114300" simplePos="0" relativeHeight="251682816" behindDoc="1" locked="0" layoutInCell="1" allowOverlap="1">
            <wp:simplePos x="0" y="0"/>
            <wp:positionH relativeFrom="column">
              <wp:posOffset>101600</wp:posOffset>
            </wp:positionH>
            <wp:positionV relativeFrom="paragraph">
              <wp:posOffset>360680</wp:posOffset>
            </wp:positionV>
            <wp:extent cx="6652260" cy="952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2260" cy="9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222222"/>
          <w:sz w:val="17"/>
          <w:lang w:bidi="ar-SA"/>
        </w:rPr>
        <w:drawing>
          <wp:anchor distT="0" distB="0" distL="114300" distR="114300" simplePos="0" relativeHeight="251683840" behindDoc="1" locked="0" layoutInCell="1" allowOverlap="1">
            <wp:simplePos x="0" y="0"/>
            <wp:positionH relativeFrom="column">
              <wp:posOffset>101600</wp:posOffset>
            </wp:positionH>
            <wp:positionV relativeFrom="paragraph">
              <wp:posOffset>389890</wp:posOffset>
            </wp:positionV>
            <wp:extent cx="6652260" cy="292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2260" cy="2921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36" w:lineRule="exact"/>
        <w:rPr>
          <w:rFonts w:ascii="Times New Roman" w:eastAsia="Times New Roman" w:hAnsi="Times New Roman"/>
        </w:rPr>
      </w:pPr>
    </w:p>
    <w:p w:rsidR="00760D48" w:rsidRDefault="00760D48" w:rsidP="00760D48">
      <w:pPr>
        <w:spacing w:line="338" w:lineRule="auto"/>
        <w:ind w:left="2820" w:right="220"/>
        <w:rPr>
          <w:rFonts w:ascii="Arial" w:eastAsia="Arial" w:hAnsi="Arial"/>
          <w:color w:val="222222"/>
          <w:sz w:val="18"/>
        </w:rPr>
      </w:pPr>
      <w:r>
        <w:rPr>
          <w:rFonts w:ascii="Arial" w:eastAsia="Arial" w:hAnsi="Arial"/>
          <w:color w:val="222222"/>
          <w:sz w:val="18"/>
        </w:rPr>
        <w:t xml:space="preserve">Cumulative MACE for this study was 7.5% (three patients). The Kaplan Meier analysis is shown in Figure </w:t>
      </w:r>
      <w:hyperlink w:anchor="page5" w:history="1">
        <w:r>
          <w:rPr>
            <w:rFonts w:ascii="Arial" w:eastAsia="Arial" w:hAnsi="Arial"/>
            <w:i/>
            <w:color w:val="15BCA4"/>
            <w:sz w:val="18"/>
          </w:rPr>
          <w:t>1</w:t>
        </w:r>
      </w:hyperlink>
      <w:r>
        <w:rPr>
          <w:rFonts w:ascii="Arial" w:eastAsia="Arial" w:hAnsi="Arial"/>
          <w:color w:val="222222"/>
          <w:sz w:val="18"/>
        </w:rPr>
        <w:t>.</w:t>
      </w:r>
    </w:p>
    <w:p w:rsidR="00760D48" w:rsidRDefault="00760D48" w:rsidP="00760D48">
      <w:pPr>
        <w:spacing w:line="20" w:lineRule="exact"/>
        <w:rPr>
          <w:rFonts w:ascii="Times New Roman" w:eastAsia="Times New Roman" w:hAnsi="Times New Roman"/>
        </w:rPr>
      </w:pPr>
      <w:r>
        <w:rPr>
          <w:rFonts w:ascii="Arial" w:eastAsia="Arial" w:hAnsi="Arial"/>
          <w:noProof/>
          <w:color w:val="222222"/>
          <w:sz w:val="18"/>
          <w:lang w:bidi="ar-SA"/>
        </w:rPr>
        <w:drawing>
          <wp:anchor distT="0" distB="0" distL="114300" distR="114300" simplePos="0" relativeHeight="251684864" behindDoc="1" locked="0" layoutInCell="1" allowOverlap="1">
            <wp:simplePos x="0" y="0"/>
            <wp:positionH relativeFrom="column">
              <wp:posOffset>3810</wp:posOffset>
            </wp:positionH>
            <wp:positionV relativeFrom="paragraph">
              <wp:posOffset>1779905</wp:posOffset>
            </wp:positionV>
            <wp:extent cx="6827520" cy="952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7520" cy="952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 w:lineRule="exact"/>
        <w:rPr>
          <w:rFonts w:ascii="Times New Roman" w:eastAsia="Times New Roman" w:hAnsi="Times New Roman"/>
        </w:rPr>
        <w:sectPr w:rsidR="00760D48">
          <w:pgSz w:w="11900" w:h="16840"/>
          <w:pgMar w:top="1114" w:right="580" w:bottom="212" w:left="560" w:header="0" w:footer="0" w:gutter="0"/>
          <w:cols w:space="0" w:equalWidth="0">
            <w:col w:w="107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80" w:lineRule="exact"/>
        <w:rPr>
          <w:rFonts w:ascii="Times New Roman" w:eastAsia="Times New Roman" w:hAnsi="Times New Roman"/>
        </w:rPr>
      </w:pPr>
    </w:p>
    <w:p w:rsidR="00760D48" w:rsidRDefault="00760D48" w:rsidP="00760D48">
      <w:pPr>
        <w:tabs>
          <w:tab w:val="left" w:pos="10240"/>
        </w:tabs>
        <w:spacing w:line="0" w:lineRule="atLeast"/>
        <w:rPr>
          <w:rFonts w:ascii="Arial" w:eastAsia="Arial" w:hAnsi="Arial"/>
          <w:sz w:val="16"/>
        </w:rPr>
      </w:pPr>
      <w:r>
        <w:rPr>
          <w:rFonts w:ascii="Arial" w:eastAsia="Arial" w:hAnsi="Arial"/>
          <w:sz w:val="17"/>
        </w:rPr>
        <w:t>2018 Mahmood et al. Cureus 10(6): e2857. DOI 10.7759/cureus.2857</w:t>
      </w:r>
      <w:r>
        <w:rPr>
          <w:rFonts w:ascii="Times New Roman" w:eastAsia="Times New Roman" w:hAnsi="Times New Roman"/>
        </w:rPr>
        <w:tab/>
      </w:r>
      <w:r>
        <w:rPr>
          <w:rFonts w:ascii="Arial" w:eastAsia="Arial" w:hAnsi="Arial"/>
          <w:sz w:val="16"/>
        </w:rPr>
        <w:t>4 of 10</w:t>
      </w:r>
    </w:p>
    <w:p w:rsidR="00760D48" w:rsidRDefault="00760D48" w:rsidP="00760D48">
      <w:pPr>
        <w:tabs>
          <w:tab w:val="left" w:pos="10240"/>
        </w:tabs>
        <w:spacing w:line="0" w:lineRule="atLeast"/>
        <w:rPr>
          <w:rFonts w:ascii="Arial" w:eastAsia="Arial" w:hAnsi="Arial"/>
          <w:sz w:val="16"/>
        </w:rPr>
        <w:sectPr w:rsidR="00760D48">
          <w:type w:val="continuous"/>
          <w:pgSz w:w="11900" w:h="16840"/>
          <w:pgMar w:top="1114" w:right="580" w:bottom="212" w:left="560" w:header="0" w:footer="0" w:gutter="0"/>
          <w:cols w:space="0" w:equalWidth="0">
            <w:col w:w="10760"/>
          </w:cols>
          <w:docGrid w:linePitch="360"/>
        </w:sectPr>
      </w:pPr>
    </w:p>
    <w:p w:rsidR="00760D48" w:rsidRDefault="00760D48" w:rsidP="00760D48">
      <w:pPr>
        <w:spacing w:line="200" w:lineRule="exact"/>
        <w:rPr>
          <w:rFonts w:ascii="Times New Roman" w:eastAsia="Times New Roman" w:hAnsi="Times New Roman"/>
        </w:rPr>
      </w:pPr>
      <w:bookmarkStart w:id="4" w:name="page5"/>
      <w:bookmarkEnd w:id="4"/>
      <w:r>
        <w:rPr>
          <w:rFonts w:ascii="Arial" w:eastAsia="Arial" w:hAnsi="Arial"/>
          <w:noProof/>
          <w:sz w:val="16"/>
          <w:lang w:bidi="ar-SA"/>
        </w:rPr>
        <w:lastRenderedPageBreak/>
        <w:drawing>
          <wp:anchor distT="0" distB="0" distL="114300" distR="114300" simplePos="0" relativeHeight="251685888" behindDoc="1" locked="0" layoutInCell="1" allowOverlap="1">
            <wp:simplePos x="0" y="0"/>
            <wp:positionH relativeFrom="page">
              <wp:posOffset>437515</wp:posOffset>
            </wp:positionH>
            <wp:positionV relativeFrom="page">
              <wp:posOffset>354965</wp:posOffset>
            </wp:positionV>
            <wp:extent cx="6671310" cy="44227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1310" cy="442277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390" w:lineRule="exact"/>
        <w:rPr>
          <w:rFonts w:ascii="Times New Roman" w:eastAsia="Times New Roman" w:hAnsi="Times New Roman"/>
        </w:rPr>
      </w:pPr>
    </w:p>
    <w:p w:rsidR="00760D48" w:rsidRDefault="00760D48" w:rsidP="00760D48">
      <w:pPr>
        <w:spacing w:line="0" w:lineRule="atLeast"/>
        <w:ind w:left="3000"/>
        <w:rPr>
          <w:rFonts w:ascii="Arial" w:eastAsia="Arial" w:hAnsi="Arial"/>
          <w:b/>
          <w:color w:val="222222"/>
          <w:sz w:val="25"/>
        </w:rPr>
      </w:pPr>
      <w:r>
        <w:rPr>
          <w:rFonts w:ascii="Arial" w:eastAsia="Arial" w:hAnsi="Arial"/>
          <w:b/>
          <w:color w:val="222222"/>
          <w:sz w:val="25"/>
        </w:rPr>
        <w:t>FIGURE 1: Kaplan Meier analysis of subjects included in study</w:t>
      </w:r>
    </w:p>
    <w:p w:rsidR="00760D48" w:rsidRDefault="00760D48" w:rsidP="00760D48">
      <w:pPr>
        <w:spacing w:line="20" w:lineRule="exact"/>
        <w:rPr>
          <w:rFonts w:ascii="Times New Roman" w:eastAsia="Times New Roman" w:hAnsi="Times New Roman"/>
        </w:rPr>
      </w:pPr>
      <w:r>
        <w:rPr>
          <w:rFonts w:ascii="Arial" w:eastAsia="Arial" w:hAnsi="Arial"/>
          <w:b/>
          <w:noProof/>
          <w:color w:val="222222"/>
          <w:sz w:val="25"/>
          <w:lang w:bidi="ar-SA"/>
        </w:rPr>
        <w:drawing>
          <wp:anchor distT="0" distB="0" distL="114300" distR="114300" simplePos="0" relativeHeight="251686912" behindDoc="1" locked="0" layoutInCell="1" allowOverlap="1">
            <wp:simplePos x="0" y="0"/>
            <wp:positionH relativeFrom="column">
              <wp:posOffset>1788795</wp:posOffset>
            </wp:positionH>
            <wp:positionV relativeFrom="paragraph">
              <wp:posOffset>257810</wp:posOffset>
            </wp:positionV>
            <wp:extent cx="4964430" cy="95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4430" cy="9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222222"/>
          <w:sz w:val="25"/>
          <w:lang w:bidi="ar-SA"/>
        </w:rPr>
        <w:drawing>
          <wp:anchor distT="0" distB="0" distL="114300" distR="114300" simplePos="0" relativeHeight="251687936" behindDoc="1" locked="0" layoutInCell="1" allowOverlap="1">
            <wp:simplePos x="0" y="0"/>
            <wp:positionH relativeFrom="column">
              <wp:posOffset>1788795</wp:posOffset>
            </wp:positionH>
            <wp:positionV relativeFrom="paragraph">
              <wp:posOffset>287020</wp:posOffset>
            </wp:positionV>
            <wp:extent cx="4964430" cy="292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4430" cy="2921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75" w:lineRule="exact"/>
        <w:rPr>
          <w:rFonts w:ascii="Times New Roman" w:eastAsia="Times New Roman" w:hAnsi="Times New Roman"/>
        </w:rPr>
      </w:pPr>
    </w:p>
    <w:p w:rsidR="00760D48" w:rsidRDefault="00760D48" w:rsidP="00760D48">
      <w:pPr>
        <w:spacing w:line="314" w:lineRule="auto"/>
        <w:ind w:left="2820" w:right="300"/>
        <w:rPr>
          <w:rFonts w:ascii="Arial" w:eastAsia="Arial" w:hAnsi="Arial"/>
          <w:color w:val="222222"/>
          <w:sz w:val="18"/>
        </w:rPr>
      </w:pPr>
      <w:r>
        <w:rPr>
          <w:rFonts w:ascii="Arial" w:eastAsia="Arial" w:hAnsi="Arial"/>
          <w:color w:val="222222"/>
          <w:sz w:val="18"/>
        </w:rPr>
        <w:t>The one-year mortality was 5% (two patients): myocardial infarction 2.5% (one patient) and unstable angina episodes 2.5% (one patient), and no patient had target vessel revascularization. Among the patients with adverse events, one myocardial infarction patient died.</w:t>
      </w:r>
    </w:p>
    <w:p w:rsidR="00760D48" w:rsidRDefault="00760D48" w:rsidP="00760D48">
      <w:pPr>
        <w:spacing w:line="268" w:lineRule="exact"/>
        <w:rPr>
          <w:rFonts w:ascii="Times New Roman" w:eastAsia="Times New Roman" w:hAnsi="Times New Roman"/>
        </w:rPr>
      </w:pPr>
    </w:p>
    <w:p w:rsidR="00760D48" w:rsidRDefault="00760D48" w:rsidP="00760D48">
      <w:pPr>
        <w:spacing w:line="0" w:lineRule="atLeast"/>
        <w:ind w:left="2820"/>
        <w:rPr>
          <w:rFonts w:ascii="Arial" w:eastAsia="Arial" w:hAnsi="Arial"/>
          <w:color w:val="222222"/>
          <w:sz w:val="18"/>
        </w:rPr>
      </w:pPr>
      <w:r>
        <w:rPr>
          <w:rFonts w:ascii="Arial" w:eastAsia="Arial" w:hAnsi="Arial"/>
          <w:color w:val="222222"/>
          <w:sz w:val="18"/>
        </w:rPr>
        <w:t>A multivariate Cox regression analysis with risk factors for coronary artery disease as predictive</w:t>
      </w:r>
    </w:p>
    <w:p w:rsidR="00760D48" w:rsidRDefault="00760D48" w:rsidP="00760D48">
      <w:pPr>
        <w:spacing w:line="54" w:lineRule="exact"/>
        <w:rPr>
          <w:rFonts w:ascii="Times New Roman" w:eastAsia="Times New Roman" w:hAnsi="Times New Roman"/>
        </w:rPr>
      </w:pPr>
    </w:p>
    <w:p w:rsidR="00760D48" w:rsidRDefault="00760D48" w:rsidP="00760D48">
      <w:pPr>
        <w:spacing w:line="0" w:lineRule="atLeast"/>
        <w:ind w:left="2820"/>
        <w:rPr>
          <w:rFonts w:ascii="Arial" w:eastAsia="Arial" w:hAnsi="Arial"/>
          <w:color w:val="222222"/>
          <w:sz w:val="18"/>
        </w:rPr>
      </w:pPr>
      <w:r>
        <w:rPr>
          <w:rFonts w:ascii="Arial" w:eastAsia="Arial" w:hAnsi="Arial"/>
          <w:color w:val="222222"/>
          <w:sz w:val="18"/>
        </w:rPr>
        <w:t>variables and MACE as the dependent variable were carried out. Analysis showed that diabetes</w:t>
      </w:r>
    </w:p>
    <w:p w:rsidR="00760D48" w:rsidRDefault="00760D48" w:rsidP="00760D48">
      <w:pPr>
        <w:spacing w:line="54" w:lineRule="exact"/>
        <w:rPr>
          <w:rFonts w:ascii="Times New Roman" w:eastAsia="Times New Roman" w:hAnsi="Times New Roman"/>
        </w:rPr>
      </w:pPr>
    </w:p>
    <w:p w:rsidR="00760D48" w:rsidRDefault="00760D48" w:rsidP="00760D48">
      <w:pPr>
        <w:spacing w:line="0" w:lineRule="atLeast"/>
        <w:ind w:left="2820"/>
        <w:rPr>
          <w:rFonts w:ascii="Arial" w:eastAsia="Arial" w:hAnsi="Arial"/>
          <w:color w:val="222222"/>
          <w:sz w:val="17"/>
        </w:rPr>
      </w:pPr>
      <w:r>
        <w:rPr>
          <w:rFonts w:ascii="Arial" w:eastAsia="Arial" w:hAnsi="Arial"/>
          <w:color w:val="222222"/>
          <w:sz w:val="17"/>
        </w:rPr>
        <w:t>(P = 0.02) was an independent predictor of MACE. Variables excluded by the model were age (P =</w:t>
      </w:r>
    </w:p>
    <w:p w:rsidR="00760D48" w:rsidRDefault="00760D48" w:rsidP="00760D48">
      <w:pPr>
        <w:spacing w:line="66" w:lineRule="exact"/>
        <w:rPr>
          <w:rFonts w:ascii="Times New Roman" w:eastAsia="Times New Roman" w:hAnsi="Times New Roman"/>
        </w:rPr>
      </w:pPr>
    </w:p>
    <w:p w:rsidR="00760D48" w:rsidRDefault="00760D48" w:rsidP="00760D48">
      <w:pPr>
        <w:spacing w:line="0" w:lineRule="atLeast"/>
        <w:ind w:left="2820"/>
        <w:rPr>
          <w:rFonts w:ascii="Arial" w:eastAsia="Arial" w:hAnsi="Arial"/>
          <w:color w:val="222222"/>
          <w:sz w:val="18"/>
        </w:rPr>
      </w:pPr>
      <w:r>
        <w:rPr>
          <w:rFonts w:ascii="Arial" w:eastAsia="Arial" w:hAnsi="Arial"/>
          <w:color w:val="222222"/>
          <w:sz w:val="18"/>
        </w:rPr>
        <w:t>0.42), gender (P = 0.75), smoking (P = 0.42), body mass index (BMI) (P = 0.47), hypertension (P =</w:t>
      </w:r>
    </w:p>
    <w:p w:rsidR="00760D48" w:rsidRDefault="00760D48" w:rsidP="00760D48">
      <w:pPr>
        <w:spacing w:line="54" w:lineRule="exact"/>
        <w:rPr>
          <w:rFonts w:ascii="Times New Roman" w:eastAsia="Times New Roman" w:hAnsi="Times New Roman"/>
        </w:rPr>
      </w:pPr>
    </w:p>
    <w:p w:rsidR="00760D48" w:rsidRDefault="00760D48" w:rsidP="00760D48">
      <w:pPr>
        <w:spacing w:line="0" w:lineRule="atLeast"/>
        <w:ind w:left="2820"/>
        <w:rPr>
          <w:rFonts w:ascii="Arial" w:eastAsia="Arial" w:hAnsi="Arial"/>
          <w:color w:val="222222"/>
          <w:sz w:val="18"/>
        </w:rPr>
      </w:pPr>
      <w:r>
        <w:rPr>
          <w:rFonts w:ascii="Arial" w:eastAsia="Arial" w:hAnsi="Arial"/>
          <w:color w:val="222222"/>
          <w:sz w:val="18"/>
        </w:rPr>
        <w:t xml:space="preserve">0.84), ejection fraction (EF) (P = 0.89), and multivessel disease (P = 0.28) as shown in Table </w:t>
      </w:r>
      <w:hyperlink w:anchor="page6" w:history="1">
        <w:r>
          <w:rPr>
            <w:rFonts w:ascii="Arial" w:eastAsia="Arial" w:hAnsi="Arial"/>
            <w:i/>
            <w:color w:val="15BCA4"/>
            <w:sz w:val="18"/>
          </w:rPr>
          <w:t>2</w:t>
        </w:r>
      </w:hyperlink>
      <w:r>
        <w:rPr>
          <w:rFonts w:ascii="Arial" w:eastAsia="Arial" w:hAnsi="Arial"/>
          <w:color w:val="222222"/>
          <w:sz w:val="18"/>
        </w:rPr>
        <w:t>.</w:t>
      </w:r>
    </w:p>
    <w:p w:rsidR="00760D48" w:rsidRDefault="00760D48" w:rsidP="00760D48">
      <w:pPr>
        <w:spacing w:line="20" w:lineRule="exact"/>
        <w:rPr>
          <w:rFonts w:ascii="Times New Roman" w:eastAsia="Times New Roman" w:hAnsi="Times New Roman"/>
        </w:rPr>
      </w:pPr>
      <w:r>
        <w:rPr>
          <w:rFonts w:ascii="Arial" w:eastAsia="Arial" w:hAnsi="Arial"/>
          <w:noProof/>
          <w:color w:val="222222"/>
          <w:sz w:val="18"/>
          <w:lang w:bidi="ar-SA"/>
        </w:rPr>
        <w:drawing>
          <wp:anchor distT="0" distB="0" distL="114300" distR="114300" simplePos="0" relativeHeight="251688960" behindDoc="1" locked="0" layoutInCell="1" allowOverlap="1">
            <wp:simplePos x="0" y="0"/>
            <wp:positionH relativeFrom="column">
              <wp:posOffset>3810</wp:posOffset>
            </wp:positionH>
            <wp:positionV relativeFrom="paragraph">
              <wp:posOffset>3413760</wp:posOffset>
            </wp:positionV>
            <wp:extent cx="6827520" cy="95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7520" cy="952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 w:lineRule="exact"/>
        <w:rPr>
          <w:rFonts w:ascii="Times New Roman" w:eastAsia="Times New Roman" w:hAnsi="Times New Roman"/>
        </w:rPr>
        <w:sectPr w:rsidR="00760D48">
          <w:pgSz w:w="11900" w:h="16840"/>
          <w:pgMar w:top="1440" w:right="580" w:bottom="212" w:left="560" w:header="0" w:footer="0" w:gutter="0"/>
          <w:cols w:space="0" w:equalWidth="0">
            <w:col w:w="107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52" w:lineRule="exact"/>
        <w:rPr>
          <w:rFonts w:ascii="Times New Roman" w:eastAsia="Times New Roman" w:hAnsi="Times New Roman"/>
        </w:rPr>
      </w:pPr>
    </w:p>
    <w:p w:rsidR="00760D48" w:rsidRDefault="00760D48" w:rsidP="00760D48">
      <w:pPr>
        <w:tabs>
          <w:tab w:val="left" w:pos="10240"/>
        </w:tabs>
        <w:spacing w:line="0" w:lineRule="atLeast"/>
        <w:rPr>
          <w:rFonts w:ascii="Arial" w:eastAsia="Arial" w:hAnsi="Arial"/>
          <w:sz w:val="16"/>
        </w:rPr>
      </w:pPr>
      <w:r>
        <w:rPr>
          <w:rFonts w:ascii="Arial" w:eastAsia="Arial" w:hAnsi="Arial"/>
          <w:sz w:val="17"/>
        </w:rPr>
        <w:t>2018 Mahmood et al. Cureus 10(6): e2857. DOI 10.7759/cureus.2857</w:t>
      </w:r>
      <w:r>
        <w:rPr>
          <w:rFonts w:ascii="Times New Roman" w:eastAsia="Times New Roman" w:hAnsi="Times New Roman"/>
        </w:rPr>
        <w:tab/>
      </w:r>
      <w:r>
        <w:rPr>
          <w:rFonts w:ascii="Arial" w:eastAsia="Arial" w:hAnsi="Arial"/>
          <w:sz w:val="16"/>
        </w:rPr>
        <w:t>5 of 10</w:t>
      </w:r>
    </w:p>
    <w:p w:rsidR="00760D48" w:rsidRDefault="00760D48" w:rsidP="00760D48">
      <w:pPr>
        <w:tabs>
          <w:tab w:val="left" w:pos="10240"/>
        </w:tabs>
        <w:spacing w:line="0" w:lineRule="atLeast"/>
        <w:rPr>
          <w:rFonts w:ascii="Arial" w:eastAsia="Arial" w:hAnsi="Arial"/>
          <w:sz w:val="16"/>
        </w:rPr>
        <w:sectPr w:rsidR="00760D48">
          <w:type w:val="continuous"/>
          <w:pgSz w:w="11900" w:h="16840"/>
          <w:pgMar w:top="1440" w:right="580" w:bottom="212" w:left="560" w:header="0" w:footer="0" w:gutter="0"/>
          <w:cols w:space="0" w:equalWidth="0">
            <w:col w:w="10760"/>
          </w:cols>
          <w:docGrid w:linePitch="360"/>
        </w:sectPr>
      </w:pPr>
    </w:p>
    <w:tbl>
      <w:tblPr>
        <w:tblW w:w="0" w:type="auto"/>
        <w:tblInd w:w="170" w:type="dxa"/>
        <w:tblLayout w:type="fixed"/>
        <w:tblCellMar>
          <w:left w:w="0" w:type="dxa"/>
          <w:right w:w="0" w:type="dxa"/>
        </w:tblCellMar>
        <w:tblLook w:val="0000" w:firstRow="0" w:lastRow="0" w:firstColumn="0" w:lastColumn="0" w:noHBand="0" w:noVBand="0"/>
      </w:tblPr>
      <w:tblGrid>
        <w:gridCol w:w="180"/>
        <w:gridCol w:w="40"/>
        <w:gridCol w:w="3560"/>
        <w:gridCol w:w="20"/>
        <w:gridCol w:w="1620"/>
        <w:gridCol w:w="3260"/>
        <w:gridCol w:w="20"/>
        <w:gridCol w:w="1560"/>
        <w:gridCol w:w="60"/>
        <w:gridCol w:w="160"/>
      </w:tblGrid>
      <w:tr w:rsidR="00760D48" w:rsidTr="00AB18F6">
        <w:trPr>
          <w:trHeight w:val="195"/>
        </w:trPr>
        <w:tc>
          <w:tcPr>
            <w:tcW w:w="180" w:type="dxa"/>
            <w:tcBorders>
              <w:top w:val="single" w:sz="8" w:space="0" w:color="DDDDDD"/>
              <w:lef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bookmarkStart w:id="5" w:name="page6"/>
            <w:bookmarkEnd w:id="5"/>
            <w:r>
              <w:rPr>
                <w:rFonts w:ascii="Arial" w:eastAsia="Arial" w:hAnsi="Arial"/>
                <w:noProof/>
                <w:sz w:val="16"/>
                <w:lang w:bidi="ar-SA"/>
              </w:rPr>
              <w:lastRenderedPageBreak/>
              <w:drawing>
                <wp:anchor distT="0" distB="0" distL="114300" distR="114300" simplePos="0" relativeHeight="251689984" behindDoc="1" locked="0" layoutInCell="1" allowOverlap="1">
                  <wp:simplePos x="0" y="0"/>
                  <wp:positionH relativeFrom="page">
                    <wp:posOffset>437515</wp:posOffset>
                  </wp:positionH>
                  <wp:positionV relativeFrom="page">
                    <wp:posOffset>354965</wp:posOffset>
                  </wp:positionV>
                  <wp:extent cx="653415" cy="1460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46050"/>
                          </a:xfrm>
                          <a:prstGeom prst="rect">
                            <a:avLst/>
                          </a:prstGeom>
                          <a:noFill/>
                        </pic:spPr>
                      </pic:pic>
                    </a:graphicData>
                  </a:graphic>
                  <wp14:sizeRelH relativeFrom="page">
                    <wp14:pctWidth>0</wp14:pctWidth>
                  </wp14:sizeRelH>
                  <wp14:sizeRelV relativeFrom="page">
                    <wp14:pctHeight>0</wp14:pctHeight>
                  </wp14:sizeRelV>
                </wp:anchor>
              </w:drawing>
            </w:r>
          </w:p>
        </w:tc>
        <w:tc>
          <w:tcPr>
            <w:tcW w:w="4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356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2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162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326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2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156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60" w:type="dxa"/>
            <w:tcBorders>
              <w:top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c>
          <w:tcPr>
            <w:tcW w:w="160" w:type="dxa"/>
            <w:tcBorders>
              <w:top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6"/>
              </w:rPr>
            </w:pPr>
          </w:p>
        </w:tc>
      </w:tr>
      <w:tr w:rsidR="00760D48" w:rsidTr="00AB18F6">
        <w:trPr>
          <w:trHeight w:val="364"/>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560" w:type="dxa"/>
            <w:shd w:val="clear" w:color="auto" w:fill="ECECEC"/>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Index</w:t>
            </w: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20" w:type="dxa"/>
            <w:shd w:val="clear" w:color="auto" w:fill="ECECEC"/>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Hazard Ratio</w:t>
            </w:r>
          </w:p>
        </w:tc>
        <w:tc>
          <w:tcPr>
            <w:tcW w:w="3260" w:type="dxa"/>
            <w:shd w:val="clear" w:color="auto" w:fill="ECECEC"/>
            <w:vAlign w:val="bottom"/>
          </w:tcPr>
          <w:p w:rsidR="00760D48" w:rsidRDefault="00760D48" w:rsidP="00AB18F6">
            <w:pPr>
              <w:spacing w:line="0" w:lineRule="atLeast"/>
              <w:ind w:left="140"/>
              <w:rPr>
                <w:rFonts w:ascii="Arial" w:eastAsia="Arial" w:hAnsi="Arial"/>
                <w:b/>
                <w:color w:val="222222"/>
                <w:sz w:val="18"/>
              </w:rPr>
            </w:pPr>
            <w:r>
              <w:rPr>
                <w:rFonts w:ascii="Arial" w:eastAsia="Arial" w:hAnsi="Arial"/>
                <w:b/>
                <w:color w:val="222222"/>
                <w:sz w:val="18"/>
              </w:rPr>
              <w:t>(95% CI)</w:t>
            </w: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560" w:type="dxa"/>
            <w:shd w:val="clear" w:color="auto" w:fill="ECECEC"/>
            <w:vAlign w:val="bottom"/>
          </w:tcPr>
          <w:p w:rsidR="00760D48" w:rsidRDefault="00760D48" w:rsidP="00AB18F6">
            <w:pPr>
              <w:spacing w:line="0" w:lineRule="atLeast"/>
              <w:ind w:left="80"/>
              <w:rPr>
                <w:rFonts w:ascii="Arial" w:eastAsia="Arial" w:hAnsi="Arial"/>
                <w:b/>
                <w:color w:val="222222"/>
                <w:sz w:val="18"/>
              </w:rPr>
            </w:pPr>
            <w:r>
              <w:rPr>
                <w:rFonts w:ascii="Arial" w:eastAsia="Arial" w:hAnsi="Arial"/>
                <w:b/>
                <w:color w:val="222222"/>
                <w:sz w:val="18"/>
              </w:rPr>
              <w:t>P value</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66"/>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3560" w:type="dxa"/>
            <w:shd w:val="clear" w:color="auto" w:fill="ECECEC"/>
            <w:vAlign w:val="bottom"/>
          </w:tcPr>
          <w:p w:rsidR="00760D48" w:rsidRDefault="00760D48" w:rsidP="00AB18F6">
            <w:pPr>
              <w:spacing w:line="0" w:lineRule="atLeast"/>
              <w:rPr>
                <w:rFonts w:ascii="Times New Roman" w:eastAsia="Times New Roman" w:hAnsi="Times New Roman"/>
                <w:sz w:val="5"/>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1620" w:type="dxa"/>
            <w:shd w:val="clear" w:color="auto" w:fill="ECECEC"/>
            <w:vAlign w:val="bottom"/>
          </w:tcPr>
          <w:p w:rsidR="00760D48" w:rsidRDefault="00760D48" w:rsidP="00AB18F6">
            <w:pPr>
              <w:spacing w:line="0" w:lineRule="atLeast"/>
              <w:rPr>
                <w:rFonts w:ascii="Times New Roman" w:eastAsia="Times New Roman" w:hAnsi="Times New Roman"/>
                <w:sz w:val="5"/>
              </w:rPr>
            </w:pPr>
          </w:p>
        </w:tc>
        <w:tc>
          <w:tcPr>
            <w:tcW w:w="3260" w:type="dxa"/>
            <w:shd w:val="clear" w:color="auto" w:fill="ECECEC"/>
            <w:vAlign w:val="bottom"/>
          </w:tcPr>
          <w:p w:rsidR="00760D48" w:rsidRDefault="00760D48" w:rsidP="00AB18F6">
            <w:pPr>
              <w:spacing w:line="0" w:lineRule="atLeast"/>
              <w:rPr>
                <w:rFonts w:ascii="Times New Roman" w:eastAsia="Times New Roman" w:hAnsi="Times New Roman"/>
                <w:sz w:val="5"/>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1560" w:type="dxa"/>
            <w:shd w:val="clear" w:color="auto" w:fill="ECECEC"/>
            <w:vAlign w:val="bottom"/>
          </w:tcPr>
          <w:p w:rsidR="00760D48" w:rsidRDefault="00760D48" w:rsidP="00AB18F6">
            <w:pPr>
              <w:spacing w:line="0" w:lineRule="atLeast"/>
              <w:rPr>
                <w:rFonts w:ascii="Times New Roman" w:eastAsia="Times New Roman" w:hAnsi="Times New Roman"/>
                <w:sz w:val="5"/>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5"/>
              </w:rPr>
            </w:pPr>
          </w:p>
        </w:tc>
      </w:tr>
      <w:tr w:rsidR="00760D48" w:rsidTr="00AB18F6">
        <w:trPr>
          <w:trHeight w:val="31"/>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356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640" w:type="dxa"/>
            <w:gridSpan w:val="2"/>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326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580" w:type="dxa"/>
            <w:gridSpan w:val="2"/>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
              </w:rPr>
            </w:pPr>
          </w:p>
        </w:tc>
      </w:tr>
      <w:tr w:rsidR="00760D48" w:rsidTr="00AB18F6">
        <w:trPr>
          <w:trHeight w:val="342"/>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56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Age</w:t>
            </w: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2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1.18 (0.81 - 1.73)</w:t>
            </w:r>
          </w:p>
        </w:tc>
        <w:tc>
          <w:tcPr>
            <w:tcW w:w="3260" w:type="dxa"/>
            <w:shd w:val="clear" w:color="auto" w:fill="F9F9F9"/>
            <w:vAlign w:val="bottom"/>
          </w:tcPr>
          <w:p w:rsidR="00760D48" w:rsidRDefault="00760D48" w:rsidP="00AB18F6">
            <w:pPr>
              <w:spacing w:line="0" w:lineRule="atLeast"/>
              <w:rPr>
                <w:rFonts w:ascii="Times New Roman" w:eastAsia="Times New Roman" w:hAnsi="Times New Roman"/>
                <w:sz w:val="24"/>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56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0.42</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88"/>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35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2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32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5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r>
      <w:tr w:rsidR="00760D48" w:rsidTr="00AB18F6">
        <w:trPr>
          <w:trHeight w:val="373"/>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560" w:type="dxa"/>
            <w:shd w:val="clear" w:color="auto" w:fill="auto"/>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Gender</w:t>
            </w:r>
          </w:p>
        </w:tc>
        <w:tc>
          <w:tcPr>
            <w:tcW w:w="164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0.94 (0.72 - 1.23)</w:t>
            </w:r>
          </w:p>
        </w:tc>
        <w:tc>
          <w:tcPr>
            <w:tcW w:w="326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58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0.75</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118"/>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356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640" w:type="dxa"/>
            <w:gridSpan w:val="2"/>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326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580" w:type="dxa"/>
            <w:gridSpan w:val="2"/>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r>
      <w:tr w:rsidR="00760D48" w:rsidTr="00AB18F6">
        <w:trPr>
          <w:trHeight w:val="342"/>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56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Smoking</w:t>
            </w: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2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1.01 (0.99 - 1.03)</w:t>
            </w:r>
          </w:p>
        </w:tc>
        <w:tc>
          <w:tcPr>
            <w:tcW w:w="3260" w:type="dxa"/>
            <w:shd w:val="clear" w:color="auto" w:fill="F9F9F9"/>
            <w:vAlign w:val="bottom"/>
          </w:tcPr>
          <w:p w:rsidR="00760D48" w:rsidRDefault="00760D48" w:rsidP="00AB18F6">
            <w:pPr>
              <w:spacing w:line="0" w:lineRule="atLeast"/>
              <w:rPr>
                <w:rFonts w:ascii="Times New Roman" w:eastAsia="Times New Roman" w:hAnsi="Times New Roman"/>
                <w:sz w:val="24"/>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56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0.42</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88"/>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35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2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32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5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r>
      <w:tr w:rsidR="00760D48" w:rsidTr="00AB18F6">
        <w:trPr>
          <w:trHeight w:val="373"/>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560" w:type="dxa"/>
            <w:shd w:val="clear" w:color="auto" w:fill="auto"/>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BMI</w:t>
            </w:r>
          </w:p>
        </w:tc>
        <w:tc>
          <w:tcPr>
            <w:tcW w:w="164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1.08 (0.84 - 1.38)</w:t>
            </w:r>
          </w:p>
        </w:tc>
        <w:tc>
          <w:tcPr>
            <w:tcW w:w="326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58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0.47</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118"/>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356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640" w:type="dxa"/>
            <w:gridSpan w:val="2"/>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326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580" w:type="dxa"/>
            <w:gridSpan w:val="2"/>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r>
      <w:tr w:rsidR="00760D48" w:rsidTr="00AB18F6">
        <w:trPr>
          <w:trHeight w:val="342"/>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56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Diabetes</w:t>
            </w: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2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1.51 (1.11 - 2.06)</w:t>
            </w:r>
          </w:p>
        </w:tc>
        <w:tc>
          <w:tcPr>
            <w:tcW w:w="3260" w:type="dxa"/>
            <w:shd w:val="clear" w:color="auto" w:fill="F9F9F9"/>
            <w:vAlign w:val="bottom"/>
          </w:tcPr>
          <w:p w:rsidR="00760D48" w:rsidRDefault="00760D48" w:rsidP="00AB18F6">
            <w:pPr>
              <w:spacing w:line="0" w:lineRule="atLeast"/>
              <w:rPr>
                <w:rFonts w:ascii="Times New Roman" w:eastAsia="Times New Roman" w:hAnsi="Times New Roman"/>
                <w:sz w:val="24"/>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56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0.02</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88"/>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35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2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32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5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r>
      <w:tr w:rsidR="00760D48" w:rsidTr="00AB18F6">
        <w:trPr>
          <w:trHeight w:val="373"/>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560" w:type="dxa"/>
            <w:shd w:val="clear" w:color="auto" w:fill="auto"/>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Hypertension</w:t>
            </w:r>
          </w:p>
        </w:tc>
        <w:tc>
          <w:tcPr>
            <w:tcW w:w="164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0.96 (0.76 - 1.23)</w:t>
            </w:r>
          </w:p>
        </w:tc>
        <w:tc>
          <w:tcPr>
            <w:tcW w:w="326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58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0.89</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118"/>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356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640" w:type="dxa"/>
            <w:gridSpan w:val="2"/>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326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580" w:type="dxa"/>
            <w:gridSpan w:val="2"/>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r>
      <w:tr w:rsidR="00760D48" w:rsidTr="00AB18F6">
        <w:trPr>
          <w:trHeight w:val="342"/>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56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Multivessel Disease</w:t>
            </w: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2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1.18 (0.91 - 1.52)</w:t>
            </w:r>
          </w:p>
        </w:tc>
        <w:tc>
          <w:tcPr>
            <w:tcW w:w="3260" w:type="dxa"/>
            <w:shd w:val="clear" w:color="auto" w:fill="F9F9F9"/>
            <w:vAlign w:val="bottom"/>
          </w:tcPr>
          <w:p w:rsidR="00760D48" w:rsidRDefault="00760D48" w:rsidP="00AB18F6">
            <w:pPr>
              <w:spacing w:line="0" w:lineRule="atLeast"/>
              <w:rPr>
                <w:rFonts w:ascii="Times New Roman" w:eastAsia="Times New Roman" w:hAnsi="Times New Roman"/>
                <w:sz w:val="24"/>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560" w:type="dxa"/>
            <w:shd w:val="clear" w:color="auto" w:fill="F9F9F9"/>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0.28</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88"/>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35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2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32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560" w:type="dxa"/>
            <w:shd w:val="clear" w:color="auto" w:fill="F9F9F9"/>
            <w:vAlign w:val="bottom"/>
          </w:tcPr>
          <w:p w:rsidR="00760D48" w:rsidRDefault="00760D48" w:rsidP="00AB18F6">
            <w:pPr>
              <w:spacing w:line="0" w:lineRule="atLeast"/>
              <w:rPr>
                <w:rFonts w:ascii="Times New Roman" w:eastAsia="Times New Roman" w:hAnsi="Times New Roman"/>
                <w:sz w:val="7"/>
              </w:rPr>
            </w:pP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7"/>
              </w:rPr>
            </w:pPr>
          </w:p>
        </w:tc>
      </w:tr>
      <w:tr w:rsidR="00760D48" w:rsidTr="00AB18F6">
        <w:trPr>
          <w:trHeight w:val="373"/>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3560" w:type="dxa"/>
            <w:shd w:val="clear" w:color="auto" w:fill="auto"/>
            <w:vAlign w:val="bottom"/>
          </w:tcPr>
          <w:p w:rsidR="00760D48" w:rsidRDefault="00760D48" w:rsidP="00AB18F6">
            <w:pPr>
              <w:spacing w:line="0" w:lineRule="atLeast"/>
              <w:ind w:left="80"/>
              <w:rPr>
                <w:rFonts w:ascii="Arial" w:eastAsia="Arial" w:hAnsi="Arial"/>
                <w:color w:val="222222"/>
                <w:sz w:val="18"/>
              </w:rPr>
            </w:pPr>
            <w:r>
              <w:rPr>
                <w:rFonts w:ascii="Arial" w:eastAsia="Arial" w:hAnsi="Arial"/>
                <w:color w:val="222222"/>
                <w:sz w:val="18"/>
              </w:rPr>
              <w:t>Ejection Fraction</w:t>
            </w:r>
          </w:p>
        </w:tc>
        <w:tc>
          <w:tcPr>
            <w:tcW w:w="164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1.03 (0.78 - 1.35)</w:t>
            </w:r>
          </w:p>
        </w:tc>
        <w:tc>
          <w:tcPr>
            <w:tcW w:w="326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580" w:type="dxa"/>
            <w:gridSpan w:val="2"/>
            <w:shd w:val="clear" w:color="auto" w:fill="auto"/>
            <w:vAlign w:val="bottom"/>
          </w:tcPr>
          <w:p w:rsidR="00760D48" w:rsidRDefault="00760D48" w:rsidP="00AB18F6">
            <w:pPr>
              <w:spacing w:line="0" w:lineRule="atLeast"/>
              <w:ind w:left="100"/>
              <w:rPr>
                <w:rFonts w:ascii="Arial" w:eastAsia="Arial" w:hAnsi="Arial"/>
                <w:color w:val="222222"/>
                <w:sz w:val="18"/>
              </w:rPr>
            </w:pPr>
            <w:r>
              <w:rPr>
                <w:rFonts w:ascii="Arial" w:eastAsia="Arial" w:hAnsi="Arial"/>
                <w:color w:val="222222"/>
                <w:sz w:val="18"/>
              </w:rPr>
              <w:t>0.84</w:t>
            </w:r>
          </w:p>
        </w:tc>
        <w:tc>
          <w:tcPr>
            <w:tcW w:w="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118"/>
        </w:trPr>
        <w:tc>
          <w:tcPr>
            <w:tcW w:w="180" w:type="dxa"/>
            <w:tcBorders>
              <w:left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356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62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326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56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60" w:type="dxa"/>
            <w:tcBorders>
              <w:bottom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60" w:type="dxa"/>
            <w:tcBorders>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0"/>
              </w:rPr>
            </w:pPr>
          </w:p>
        </w:tc>
      </w:tr>
      <w:tr w:rsidR="00760D48" w:rsidTr="00AB18F6">
        <w:trPr>
          <w:trHeight w:val="149"/>
        </w:trPr>
        <w:tc>
          <w:tcPr>
            <w:tcW w:w="180" w:type="dxa"/>
            <w:tcBorders>
              <w:left w:val="single" w:sz="8" w:space="0" w:color="DDDDDD"/>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4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356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2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62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326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2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56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60" w:type="dxa"/>
            <w:tcBorders>
              <w:bottom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60" w:type="dxa"/>
            <w:tcBorders>
              <w:bottom w:val="single" w:sz="8" w:space="0" w:color="DDDDDD"/>
              <w:right w:val="single" w:sz="8" w:space="0" w:color="DDDDDD"/>
            </w:tcBorders>
            <w:shd w:val="clear" w:color="auto" w:fill="auto"/>
            <w:vAlign w:val="bottom"/>
          </w:tcPr>
          <w:p w:rsidR="00760D48" w:rsidRDefault="00760D48" w:rsidP="00AB18F6">
            <w:pPr>
              <w:spacing w:line="0" w:lineRule="atLeast"/>
              <w:rPr>
                <w:rFonts w:ascii="Times New Roman" w:eastAsia="Times New Roman" w:hAnsi="Times New Roman"/>
                <w:sz w:val="12"/>
              </w:rPr>
            </w:pPr>
          </w:p>
        </w:tc>
      </w:tr>
    </w:tbl>
    <w:p w:rsidR="00760D48" w:rsidRDefault="00760D48" w:rsidP="00760D48">
      <w:pPr>
        <w:spacing w:line="20" w:lineRule="exact"/>
        <w:rPr>
          <w:rFonts w:ascii="Times New Roman" w:eastAsia="Times New Roman" w:hAnsi="Times New Roman"/>
        </w:rPr>
      </w:pPr>
      <w:r>
        <w:rPr>
          <w:rFonts w:ascii="Times New Roman" w:eastAsia="Times New Roman" w:hAnsi="Times New Roman"/>
          <w:noProof/>
          <w:sz w:val="12"/>
          <w:lang w:bidi="ar-SA"/>
        </w:rPr>
        <w:drawing>
          <wp:anchor distT="0" distB="0" distL="114300" distR="114300" simplePos="0" relativeHeight="251691008" behindDoc="1" locked="0" layoutInCell="1" allowOverlap="1">
            <wp:simplePos x="0" y="0"/>
            <wp:positionH relativeFrom="column">
              <wp:posOffset>101600</wp:posOffset>
            </wp:positionH>
            <wp:positionV relativeFrom="paragraph">
              <wp:posOffset>29210</wp:posOffset>
            </wp:positionV>
            <wp:extent cx="6652260" cy="9169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2260" cy="91694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54" w:lineRule="exact"/>
        <w:rPr>
          <w:rFonts w:ascii="Times New Roman" w:eastAsia="Times New Roman" w:hAnsi="Times New Roman"/>
        </w:rPr>
      </w:pPr>
    </w:p>
    <w:p w:rsidR="00760D48" w:rsidRDefault="00760D48" w:rsidP="00760D48">
      <w:pPr>
        <w:spacing w:line="0" w:lineRule="atLeast"/>
        <w:ind w:left="340"/>
        <w:rPr>
          <w:rFonts w:ascii="Arial" w:eastAsia="Arial" w:hAnsi="Arial"/>
          <w:b/>
          <w:color w:val="222222"/>
          <w:sz w:val="25"/>
        </w:rPr>
      </w:pPr>
      <w:r>
        <w:rPr>
          <w:rFonts w:ascii="Arial" w:eastAsia="Arial" w:hAnsi="Arial"/>
          <w:b/>
          <w:color w:val="222222"/>
          <w:sz w:val="25"/>
        </w:rPr>
        <w:t>TABLE 2: Cox Regression Table With Hazard Ratio For Various Variables</w:t>
      </w:r>
    </w:p>
    <w:p w:rsidR="00760D48" w:rsidRDefault="00760D48" w:rsidP="00760D48">
      <w:pPr>
        <w:spacing w:line="166" w:lineRule="exact"/>
        <w:rPr>
          <w:rFonts w:ascii="Times New Roman" w:eastAsia="Times New Roman" w:hAnsi="Times New Roman"/>
        </w:rPr>
      </w:pPr>
    </w:p>
    <w:p w:rsidR="00760D48" w:rsidRDefault="00760D48" w:rsidP="00760D48">
      <w:pPr>
        <w:spacing w:line="0" w:lineRule="atLeast"/>
        <w:ind w:left="340"/>
        <w:rPr>
          <w:rFonts w:ascii="Arial" w:eastAsia="Arial" w:hAnsi="Arial"/>
          <w:color w:val="222222"/>
          <w:sz w:val="17"/>
        </w:rPr>
      </w:pPr>
      <w:r>
        <w:rPr>
          <w:rFonts w:ascii="Arial" w:eastAsia="Arial" w:hAnsi="Arial"/>
          <w:color w:val="222222"/>
          <w:sz w:val="17"/>
        </w:rPr>
        <w:t>CI: confidence interval; BMI: body mass index</w:t>
      </w:r>
    </w:p>
    <w:p w:rsidR="00760D48" w:rsidRDefault="00760D48" w:rsidP="00760D48">
      <w:pPr>
        <w:spacing w:line="20" w:lineRule="exact"/>
        <w:rPr>
          <w:rFonts w:ascii="Times New Roman" w:eastAsia="Times New Roman" w:hAnsi="Times New Roman"/>
        </w:rPr>
      </w:pPr>
      <w:r>
        <w:rPr>
          <w:rFonts w:ascii="Arial" w:eastAsia="Arial" w:hAnsi="Arial"/>
          <w:noProof/>
          <w:color w:val="222222"/>
          <w:sz w:val="17"/>
          <w:lang w:bidi="ar-SA"/>
        </w:rPr>
        <w:drawing>
          <wp:anchor distT="0" distB="0" distL="114300" distR="114300" simplePos="0" relativeHeight="251692032" behindDoc="1" locked="0" layoutInCell="1" allowOverlap="1">
            <wp:simplePos x="0" y="0"/>
            <wp:positionH relativeFrom="column">
              <wp:posOffset>101600</wp:posOffset>
            </wp:positionH>
            <wp:positionV relativeFrom="paragraph">
              <wp:posOffset>360680</wp:posOffset>
            </wp:positionV>
            <wp:extent cx="6652260" cy="95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2260" cy="9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222222"/>
          <w:sz w:val="17"/>
          <w:lang w:bidi="ar-SA"/>
        </w:rPr>
        <w:drawing>
          <wp:anchor distT="0" distB="0" distL="114300" distR="114300" simplePos="0" relativeHeight="251693056" behindDoc="1" locked="0" layoutInCell="1" allowOverlap="1">
            <wp:simplePos x="0" y="0"/>
            <wp:positionH relativeFrom="column">
              <wp:posOffset>101600</wp:posOffset>
            </wp:positionH>
            <wp:positionV relativeFrom="paragraph">
              <wp:posOffset>389890</wp:posOffset>
            </wp:positionV>
            <wp:extent cx="6652260" cy="292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2260" cy="2921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365"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15BCA4"/>
          <w:sz w:val="32"/>
        </w:rPr>
      </w:pPr>
      <w:r>
        <w:rPr>
          <w:rFonts w:ascii="Arial" w:eastAsia="Arial" w:hAnsi="Arial"/>
          <w:b/>
          <w:color w:val="15BCA4"/>
          <w:sz w:val="32"/>
        </w:rPr>
        <w:t>Discussion</w:t>
      </w:r>
    </w:p>
    <w:p w:rsidR="00760D48" w:rsidRDefault="00760D48" w:rsidP="00760D48">
      <w:pPr>
        <w:spacing w:line="149" w:lineRule="exact"/>
        <w:rPr>
          <w:rFonts w:ascii="Times New Roman" w:eastAsia="Times New Roman" w:hAnsi="Times New Roman"/>
        </w:rPr>
      </w:pPr>
    </w:p>
    <w:p w:rsidR="00760D48" w:rsidRDefault="00760D48" w:rsidP="00760D48">
      <w:pPr>
        <w:spacing w:line="309" w:lineRule="auto"/>
        <w:ind w:left="2820" w:right="280"/>
        <w:rPr>
          <w:rFonts w:ascii="Arial" w:eastAsia="Arial" w:hAnsi="Arial"/>
          <w:color w:val="222222"/>
          <w:sz w:val="18"/>
        </w:rPr>
      </w:pPr>
      <w:r>
        <w:rPr>
          <w:rFonts w:ascii="Arial" w:eastAsia="Arial" w:hAnsi="Arial"/>
          <w:color w:val="222222"/>
          <w:sz w:val="18"/>
        </w:rPr>
        <w:t xml:space="preserve">Left main stem (LMS) disease has prognostic significance and is found in about 5% of patients admitted for coronary angiographies </w:t>
      </w:r>
      <w:r>
        <w:rPr>
          <w:rFonts w:ascii="Arial" w:eastAsia="Arial" w:hAnsi="Arial"/>
          <w:color w:val="15BCA4"/>
          <w:sz w:val="18"/>
        </w:rPr>
        <w:t>[12-13]</w:t>
      </w:r>
      <w:r>
        <w:rPr>
          <w:rFonts w:ascii="Arial" w:eastAsia="Arial" w:hAnsi="Arial"/>
          <w:color w:val="222222"/>
          <w:sz w:val="18"/>
        </w:rPr>
        <w:t xml:space="preserve">. The Coronary Artery Surgery Study (CASS) showed significantly improved five-year mortality in CABG as compared to medical therapy (16% vs 43%) </w:t>
      </w:r>
      <w:r>
        <w:rPr>
          <w:rFonts w:ascii="Arial" w:eastAsia="Arial" w:hAnsi="Arial"/>
          <w:color w:val="15BCA4"/>
          <w:sz w:val="18"/>
        </w:rPr>
        <w:t>[14]</w:t>
      </w:r>
      <w:r>
        <w:rPr>
          <w:rFonts w:ascii="Arial" w:eastAsia="Arial" w:hAnsi="Arial"/>
          <w:color w:val="222222"/>
          <w:sz w:val="18"/>
        </w:rPr>
        <w:t>. CABG is traditionally regarded as the standard treatment for LMS disease, but since the start of PCI era, interventional cardiologists have been rigorously assessing its role in LMS disease.</w:t>
      </w:r>
    </w:p>
    <w:p w:rsidR="00760D48" w:rsidRDefault="00760D48" w:rsidP="00760D48">
      <w:pPr>
        <w:spacing w:line="275" w:lineRule="exact"/>
        <w:rPr>
          <w:rFonts w:ascii="Times New Roman" w:eastAsia="Times New Roman" w:hAnsi="Times New Roman"/>
        </w:rPr>
      </w:pPr>
    </w:p>
    <w:p w:rsidR="00760D48" w:rsidRDefault="00760D48" w:rsidP="00760D48">
      <w:pPr>
        <w:spacing w:line="306" w:lineRule="auto"/>
        <w:ind w:left="2820" w:right="180"/>
        <w:rPr>
          <w:rFonts w:ascii="Arial" w:eastAsia="Arial" w:hAnsi="Arial"/>
          <w:color w:val="222222"/>
          <w:sz w:val="18"/>
        </w:rPr>
      </w:pPr>
      <w:r>
        <w:rPr>
          <w:rFonts w:ascii="Arial" w:eastAsia="Arial" w:hAnsi="Arial"/>
          <w:color w:val="222222"/>
          <w:sz w:val="18"/>
        </w:rPr>
        <w:t xml:space="preserve">The high survival rate for post-CABG patients has been shown in multiple studies </w:t>
      </w:r>
      <w:r>
        <w:rPr>
          <w:rFonts w:ascii="Arial" w:eastAsia="Arial" w:hAnsi="Arial"/>
          <w:color w:val="15BCA4"/>
          <w:sz w:val="18"/>
        </w:rPr>
        <w:t>[15]</w:t>
      </w:r>
      <w:r>
        <w:rPr>
          <w:rFonts w:ascii="Arial" w:eastAsia="Arial" w:hAnsi="Arial"/>
          <w:color w:val="222222"/>
          <w:sz w:val="18"/>
        </w:rPr>
        <w:t xml:space="preserve">. However, the Unprotected Left Main Trunk Intervention Multicenter Assessment (ULTIMA) registry demonstrated promising results for PCI to left main stem with 24% one-year mortality which was even lower in the low-risk group (3.4%) </w:t>
      </w:r>
      <w:r>
        <w:rPr>
          <w:rFonts w:ascii="Arial" w:eastAsia="Arial" w:hAnsi="Arial"/>
          <w:color w:val="15BCA4"/>
          <w:sz w:val="18"/>
        </w:rPr>
        <w:t>[16]</w:t>
      </w:r>
      <w:r>
        <w:rPr>
          <w:rFonts w:ascii="Arial" w:eastAsia="Arial" w:hAnsi="Arial"/>
          <w:color w:val="222222"/>
          <w:sz w:val="18"/>
        </w:rPr>
        <w:t xml:space="preserve">. Biondi-Zoccai et al. </w:t>
      </w:r>
      <w:r>
        <w:rPr>
          <w:rFonts w:ascii="Arial" w:eastAsia="Arial" w:hAnsi="Arial"/>
          <w:color w:val="15BCA4"/>
          <w:sz w:val="18"/>
        </w:rPr>
        <w:t>[17]</w:t>
      </w:r>
      <w:r>
        <w:rPr>
          <w:rFonts w:ascii="Arial" w:eastAsia="Arial" w:hAnsi="Arial"/>
          <w:color w:val="222222"/>
          <w:sz w:val="18"/>
        </w:rPr>
        <w:t xml:space="preserve"> also demonstrated a MACE rate of 10.6 and mortality rate of 5.5% for PCI patients. Other registries comparing CABG to PCI also demonstrated similar MACE rates </w:t>
      </w:r>
      <w:r>
        <w:rPr>
          <w:rFonts w:ascii="Arial" w:eastAsia="Arial" w:hAnsi="Arial"/>
          <w:color w:val="15BCA4"/>
          <w:sz w:val="18"/>
        </w:rPr>
        <w:t>[18-19]</w:t>
      </w:r>
      <w:r>
        <w:rPr>
          <w:rFonts w:ascii="Arial" w:eastAsia="Arial" w:hAnsi="Arial"/>
          <w:color w:val="222222"/>
          <w:sz w:val="18"/>
        </w:rPr>
        <w:t xml:space="preserve">. Two important aspects that came to light from these registries were the increased rates of target lesion revascularization (TLR) in the PCI group, while there was a higher incidence of cerebrovascular accidents (CVA) in the CABG patients. The Revascularization for Unprotected Left Main Coronary Artery Stenosis: Comparison of Percutaneous Coronary Angioplasty Versus Surgical Revascularization (MAIN-COMPARE) registry </w:t>
      </w:r>
      <w:r>
        <w:rPr>
          <w:rFonts w:ascii="Arial" w:eastAsia="Arial" w:hAnsi="Arial"/>
          <w:color w:val="15BCA4"/>
          <w:sz w:val="18"/>
        </w:rPr>
        <w:t>[20]</w:t>
      </w:r>
      <w:r>
        <w:rPr>
          <w:rFonts w:ascii="Arial" w:eastAsia="Arial" w:hAnsi="Arial"/>
          <w:color w:val="222222"/>
          <w:sz w:val="18"/>
        </w:rPr>
        <w:t xml:space="preserve"> also reported similar results.</w:t>
      </w:r>
    </w:p>
    <w:p w:rsidR="00760D48" w:rsidRDefault="00760D48" w:rsidP="00760D48">
      <w:pPr>
        <w:spacing w:line="277" w:lineRule="exact"/>
        <w:rPr>
          <w:rFonts w:ascii="Times New Roman" w:eastAsia="Times New Roman" w:hAnsi="Times New Roman"/>
        </w:rPr>
      </w:pPr>
    </w:p>
    <w:p w:rsidR="00760D48" w:rsidRDefault="00760D48" w:rsidP="00760D48">
      <w:pPr>
        <w:spacing w:line="307" w:lineRule="auto"/>
        <w:ind w:left="2820" w:right="260"/>
        <w:rPr>
          <w:rFonts w:ascii="Arial" w:eastAsia="Arial" w:hAnsi="Arial"/>
          <w:color w:val="222222"/>
          <w:sz w:val="18"/>
        </w:rPr>
      </w:pPr>
      <w:r>
        <w:rPr>
          <w:rFonts w:ascii="Arial" w:eastAsia="Arial" w:hAnsi="Arial"/>
          <w:color w:val="222222"/>
          <w:sz w:val="18"/>
        </w:rPr>
        <w:t xml:space="preserve">The Study of Unprotected Left Main Stenting versus Bypass Surgery (LE MANS) was the first randomized controlled trials (RCT) and enrolled 105 patients with significant LMS disease (defined as &gt; 50% stenosis angiographically) </w:t>
      </w:r>
      <w:r>
        <w:rPr>
          <w:rFonts w:ascii="Arial" w:eastAsia="Arial" w:hAnsi="Arial"/>
          <w:color w:val="15BCA4"/>
          <w:sz w:val="18"/>
        </w:rPr>
        <w:t>[21]</w:t>
      </w:r>
      <w:r>
        <w:rPr>
          <w:rFonts w:ascii="Arial" w:eastAsia="Arial" w:hAnsi="Arial"/>
          <w:color w:val="222222"/>
          <w:sz w:val="18"/>
        </w:rPr>
        <w:t>. The primary endpoint was the change in the left ventricular ejection fraction (LVEF) at 12 months, while the secondary endpoint was a major adverse cardiac and cerebrovascular event (MACCE) at 30 days and one year. Surprisingly, there was a statistically significant improvement in LVEF with patients treated with PCI versus CABG (58% versus 54%). PCI was also associated with a lower MACE rate at 30 days (2% versus 13%) with a MACE being equivalent at one year in the two groups. The study did have a number of limitations, including a small sample size, high use of bare metal stents</w:t>
      </w:r>
    </w:p>
    <w:p w:rsidR="00760D48" w:rsidRDefault="00760D48" w:rsidP="00760D48">
      <w:pPr>
        <w:spacing w:line="20" w:lineRule="exact"/>
        <w:rPr>
          <w:rFonts w:ascii="Times New Roman" w:eastAsia="Times New Roman" w:hAnsi="Times New Roman"/>
        </w:rPr>
      </w:pPr>
      <w:r>
        <w:rPr>
          <w:rFonts w:ascii="Arial" w:eastAsia="Arial" w:hAnsi="Arial"/>
          <w:noProof/>
          <w:color w:val="222222"/>
          <w:sz w:val="18"/>
          <w:lang w:bidi="ar-SA"/>
        </w:rPr>
        <w:drawing>
          <wp:anchor distT="0" distB="0" distL="114300" distR="114300" simplePos="0" relativeHeight="251694080" behindDoc="1" locked="0" layoutInCell="1" allowOverlap="1">
            <wp:simplePos x="0" y="0"/>
            <wp:positionH relativeFrom="column">
              <wp:posOffset>3810</wp:posOffset>
            </wp:positionH>
            <wp:positionV relativeFrom="paragraph">
              <wp:posOffset>285750</wp:posOffset>
            </wp:positionV>
            <wp:extent cx="6827520" cy="95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7520" cy="952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 w:lineRule="exact"/>
        <w:rPr>
          <w:rFonts w:ascii="Times New Roman" w:eastAsia="Times New Roman" w:hAnsi="Times New Roman"/>
        </w:rPr>
        <w:sectPr w:rsidR="00760D48">
          <w:pgSz w:w="11900" w:h="16840"/>
          <w:pgMar w:top="1114" w:right="580" w:bottom="212" w:left="560" w:header="0" w:footer="0" w:gutter="0"/>
          <w:cols w:space="0" w:equalWidth="0">
            <w:col w:w="107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327" w:lineRule="exact"/>
        <w:rPr>
          <w:rFonts w:ascii="Times New Roman" w:eastAsia="Times New Roman" w:hAnsi="Times New Roman"/>
        </w:rPr>
      </w:pPr>
    </w:p>
    <w:p w:rsidR="00760D48" w:rsidRDefault="00760D48" w:rsidP="00760D48">
      <w:pPr>
        <w:tabs>
          <w:tab w:val="left" w:pos="10240"/>
        </w:tabs>
        <w:spacing w:line="0" w:lineRule="atLeast"/>
        <w:rPr>
          <w:rFonts w:ascii="Arial" w:eastAsia="Arial" w:hAnsi="Arial"/>
          <w:sz w:val="16"/>
        </w:rPr>
      </w:pPr>
      <w:r>
        <w:rPr>
          <w:rFonts w:ascii="Arial" w:eastAsia="Arial" w:hAnsi="Arial"/>
          <w:sz w:val="17"/>
        </w:rPr>
        <w:t>2018 Mahmood et al. Cureus 10(6): e2857. DOI 10.7759/cureus.2857</w:t>
      </w:r>
      <w:r>
        <w:rPr>
          <w:rFonts w:ascii="Times New Roman" w:eastAsia="Times New Roman" w:hAnsi="Times New Roman"/>
        </w:rPr>
        <w:tab/>
      </w:r>
      <w:r>
        <w:rPr>
          <w:rFonts w:ascii="Arial" w:eastAsia="Arial" w:hAnsi="Arial"/>
          <w:sz w:val="16"/>
        </w:rPr>
        <w:t>6 of 10</w:t>
      </w:r>
    </w:p>
    <w:p w:rsidR="00760D48" w:rsidRDefault="00760D48" w:rsidP="00760D48">
      <w:pPr>
        <w:tabs>
          <w:tab w:val="left" w:pos="10240"/>
        </w:tabs>
        <w:spacing w:line="0" w:lineRule="atLeast"/>
        <w:rPr>
          <w:rFonts w:ascii="Arial" w:eastAsia="Arial" w:hAnsi="Arial"/>
          <w:sz w:val="16"/>
        </w:rPr>
        <w:sectPr w:rsidR="00760D48">
          <w:type w:val="continuous"/>
          <w:pgSz w:w="11900" w:h="16840"/>
          <w:pgMar w:top="1114" w:right="580" w:bottom="212" w:left="560" w:header="0" w:footer="0" w:gutter="0"/>
          <w:cols w:space="0" w:equalWidth="0">
            <w:col w:w="10760"/>
          </w:cols>
          <w:docGrid w:linePitch="360"/>
        </w:sectPr>
      </w:pPr>
    </w:p>
    <w:p w:rsidR="00760D48" w:rsidRDefault="00760D48" w:rsidP="00760D48">
      <w:pPr>
        <w:spacing w:line="0" w:lineRule="atLeast"/>
        <w:ind w:left="2820"/>
        <w:rPr>
          <w:rFonts w:ascii="Arial" w:eastAsia="Arial" w:hAnsi="Arial"/>
          <w:color w:val="222222"/>
          <w:sz w:val="18"/>
        </w:rPr>
      </w:pPr>
      <w:bookmarkStart w:id="6" w:name="page7"/>
      <w:bookmarkEnd w:id="6"/>
      <w:r>
        <w:rPr>
          <w:rFonts w:ascii="Arial" w:eastAsia="Arial" w:hAnsi="Arial"/>
          <w:noProof/>
          <w:sz w:val="16"/>
          <w:lang w:bidi="ar-SA"/>
        </w:rPr>
        <w:lastRenderedPageBreak/>
        <w:drawing>
          <wp:anchor distT="0" distB="0" distL="114300" distR="114300" simplePos="0" relativeHeight="251695104" behindDoc="1" locked="0" layoutInCell="1" allowOverlap="1">
            <wp:simplePos x="0" y="0"/>
            <wp:positionH relativeFrom="page">
              <wp:posOffset>437515</wp:posOffset>
            </wp:positionH>
            <wp:positionV relativeFrom="page">
              <wp:posOffset>354965</wp:posOffset>
            </wp:positionV>
            <wp:extent cx="653415" cy="1460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46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22222"/>
          <w:sz w:val="18"/>
        </w:rPr>
        <w:t>(BMS), and a lower than the contemporary use of left internal mammary artery (LIMA) grafts.</w:t>
      </w:r>
    </w:p>
    <w:p w:rsidR="00760D48" w:rsidRDefault="00760D48" w:rsidP="00760D48">
      <w:pPr>
        <w:spacing w:line="361" w:lineRule="exact"/>
        <w:rPr>
          <w:rFonts w:ascii="Times New Roman" w:eastAsia="Times New Roman" w:hAnsi="Times New Roman"/>
        </w:rPr>
      </w:pPr>
    </w:p>
    <w:p w:rsidR="00760D48" w:rsidRDefault="00760D48" w:rsidP="00760D48">
      <w:pPr>
        <w:spacing w:line="302" w:lineRule="auto"/>
        <w:ind w:left="2820" w:right="280"/>
        <w:rPr>
          <w:rFonts w:ascii="Arial" w:eastAsia="Arial" w:hAnsi="Arial"/>
          <w:color w:val="222222"/>
          <w:sz w:val="18"/>
        </w:rPr>
      </w:pPr>
      <w:r>
        <w:rPr>
          <w:rFonts w:ascii="Arial" w:eastAsia="Arial" w:hAnsi="Arial"/>
          <w:color w:val="222222"/>
          <w:sz w:val="18"/>
        </w:rPr>
        <w:t>The Synergy Between PCI With Taxus and Cardiac Surgery (SYNTAX) trial was the largest to compare PCI to CABG in LMS disease and demonstrated that if patients were divided into tertiles of syntax score (0-22, 23-32, and above 32), the results were comparable in the lower two tertiles. CABG showed better results as compared to PCI when the syntax score was above</w:t>
      </w:r>
    </w:p>
    <w:p w:rsidR="00760D48" w:rsidRDefault="00760D48" w:rsidP="00760D48">
      <w:pPr>
        <w:spacing w:line="3" w:lineRule="exact"/>
        <w:rPr>
          <w:rFonts w:ascii="Times New Roman" w:eastAsia="Times New Roman" w:hAnsi="Times New Roman"/>
        </w:rPr>
      </w:pPr>
    </w:p>
    <w:p w:rsidR="00760D48" w:rsidRDefault="00760D48" w:rsidP="00760D48">
      <w:pPr>
        <w:widowControl/>
        <w:numPr>
          <w:ilvl w:val="0"/>
          <w:numId w:val="5"/>
        </w:numPr>
        <w:tabs>
          <w:tab w:val="left" w:pos="3060"/>
        </w:tabs>
        <w:autoSpaceDE/>
        <w:autoSpaceDN/>
        <w:spacing w:line="0" w:lineRule="atLeast"/>
        <w:ind w:left="3060" w:hanging="243"/>
        <w:rPr>
          <w:rFonts w:ascii="Arial" w:eastAsia="Arial" w:hAnsi="Arial"/>
          <w:color w:val="222222"/>
          <w:sz w:val="18"/>
        </w:rPr>
      </w:pPr>
      <w:r>
        <w:rPr>
          <w:rFonts w:ascii="Arial" w:eastAsia="Arial" w:hAnsi="Arial"/>
          <w:color w:val="15BCA4"/>
          <w:sz w:val="18"/>
        </w:rPr>
        <w:t>[22-23]</w:t>
      </w:r>
      <w:r>
        <w:rPr>
          <w:rFonts w:ascii="Arial" w:eastAsia="Arial" w:hAnsi="Arial"/>
          <w:color w:val="222222"/>
          <w:sz w:val="18"/>
        </w:rPr>
        <w:t>.</w:t>
      </w:r>
    </w:p>
    <w:p w:rsidR="00760D48" w:rsidRDefault="00760D48" w:rsidP="00760D48">
      <w:pPr>
        <w:spacing w:line="361" w:lineRule="exact"/>
        <w:rPr>
          <w:rFonts w:ascii="Times New Roman" w:eastAsia="Times New Roman" w:hAnsi="Times New Roman"/>
        </w:rPr>
      </w:pPr>
    </w:p>
    <w:p w:rsidR="00760D48" w:rsidRDefault="00760D48" w:rsidP="00760D48">
      <w:pPr>
        <w:spacing w:line="338" w:lineRule="auto"/>
        <w:ind w:left="2820" w:right="860"/>
        <w:rPr>
          <w:rFonts w:ascii="Arial" w:eastAsia="Arial" w:hAnsi="Arial"/>
          <w:color w:val="222222"/>
          <w:sz w:val="18"/>
        </w:rPr>
      </w:pPr>
      <w:r>
        <w:rPr>
          <w:rFonts w:ascii="Arial" w:eastAsia="Arial" w:hAnsi="Arial"/>
          <w:color w:val="222222"/>
          <w:sz w:val="18"/>
        </w:rPr>
        <w:t>Two recent studies showed conflicting results for coronary artery bypass (CABG) vs percutaneous coronary intervention (PCI) in left main coronary artery (LMCA) disease.</w:t>
      </w:r>
    </w:p>
    <w:p w:rsidR="00760D48" w:rsidRDefault="00760D48" w:rsidP="00760D48">
      <w:pPr>
        <w:spacing w:line="246" w:lineRule="exact"/>
        <w:rPr>
          <w:rFonts w:ascii="Times New Roman" w:eastAsia="Times New Roman" w:hAnsi="Times New Roman"/>
        </w:rPr>
      </w:pPr>
    </w:p>
    <w:p w:rsidR="00760D48" w:rsidRDefault="00760D48" w:rsidP="00760D48">
      <w:pPr>
        <w:spacing w:line="311" w:lineRule="auto"/>
        <w:ind w:left="2820" w:right="140"/>
        <w:rPr>
          <w:rFonts w:ascii="Arial" w:eastAsia="Arial" w:hAnsi="Arial"/>
          <w:color w:val="222222"/>
          <w:sz w:val="18"/>
        </w:rPr>
      </w:pPr>
      <w:r>
        <w:rPr>
          <w:rFonts w:ascii="Arial" w:eastAsia="Arial" w:hAnsi="Arial"/>
          <w:color w:val="222222"/>
          <w:sz w:val="18"/>
        </w:rPr>
        <w:t xml:space="preserve">The EXCEL (Evaluation of XCIENCE vs Coronary Artery Bypass Surgery for Effectiveness of Left Main Revascularization) trial demonstrated non-inferiority of PCI with everolimus-eluting stents to CABG in low or intermediate SYNTAX score patients </w:t>
      </w:r>
      <w:r>
        <w:rPr>
          <w:rFonts w:ascii="Arial" w:eastAsia="Arial" w:hAnsi="Arial"/>
          <w:color w:val="15BCA4"/>
          <w:sz w:val="18"/>
        </w:rPr>
        <w:t>[7]</w:t>
      </w:r>
      <w:r>
        <w:rPr>
          <w:rFonts w:ascii="Arial" w:eastAsia="Arial" w:hAnsi="Arial"/>
          <w:color w:val="222222"/>
          <w:sz w:val="18"/>
        </w:rPr>
        <w:t xml:space="preserve">. At three years, the MACE rate was 15.4% in the PCI group as compared with 14.7% in the CABG group (95% confidence interval (CI), 0.79 - 1.26) </w:t>
      </w:r>
      <w:r>
        <w:rPr>
          <w:rFonts w:ascii="Arial" w:eastAsia="Arial" w:hAnsi="Arial"/>
          <w:color w:val="15BCA4"/>
          <w:sz w:val="18"/>
        </w:rPr>
        <w:t>[7]</w:t>
      </w:r>
      <w:r>
        <w:rPr>
          <w:rFonts w:ascii="Arial" w:eastAsia="Arial" w:hAnsi="Arial"/>
          <w:color w:val="222222"/>
          <w:sz w:val="18"/>
        </w:rPr>
        <w:t>.</w:t>
      </w:r>
    </w:p>
    <w:p w:rsidR="00760D48" w:rsidRDefault="00760D48" w:rsidP="00760D48">
      <w:pPr>
        <w:spacing w:line="272" w:lineRule="exact"/>
        <w:rPr>
          <w:rFonts w:ascii="Times New Roman" w:eastAsia="Times New Roman" w:hAnsi="Times New Roman"/>
        </w:rPr>
      </w:pPr>
    </w:p>
    <w:p w:rsidR="00760D48" w:rsidRDefault="00760D48" w:rsidP="00760D48">
      <w:pPr>
        <w:spacing w:line="320" w:lineRule="auto"/>
        <w:ind w:left="2820" w:right="160"/>
        <w:rPr>
          <w:rFonts w:ascii="Arial" w:eastAsia="Arial" w:hAnsi="Arial"/>
          <w:color w:val="222222"/>
          <w:sz w:val="18"/>
        </w:rPr>
      </w:pPr>
      <w:r>
        <w:rPr>
          <w:rFonts w:ascii="Arial" w:eastAsia="Arial" w:hAnsi="Arial"/>
          <w:color w:val="222222"/>
          <w:sz w:val="18"/>
        </w:rPr>
        <w:t xml:space="preserve">The NOBLE (Nordic-Baltic-British Left Main Revascularization) trial found that despite a similar mortality, the five-year MACE was higher after PCI as compared to CABG (28.9% for PCI vs 19.1% for CABG) (HR:1.48; 95% CI, 1.11 - 1.96) </w:t>
      </w:r>
      <w:r>
        <w:rPr>
          <w:rFonts w:ascii="Arial" w:eastAsia="Arial" w:hAnsi="Arial"/>
          <w:color w:val="15BCA4"/>
          <w:sz w:val="18"/>
        </w:rPr>
        <w:t>[24]</w:t>
      </w:r>
      <w:r>
        <w:rPr>
          <w:rFonts w:ascii="Arial" w:eastAsia="Arial" w:hAnsi="Arial"/>
          <w:color w:val="222222"/>
          <w:sz w:val="18"/>
        </w:rPr>
        <w:t>.</w:t>
      </w:r>
    </w:p>
    <w:p w:rsidR="00760D48" w:rsidRDefault="00760D48" w:rsidP="00760D48">
      <w:pPr>
        <w:spacing w:line="263" w:lineRule="exact"/>
        <w:rPr>
          <w:rFonts w:ascii="Times New Roman" w:eastAsia="Times New Roman" w:hAnsi="Times New Roman"/>
        </w:rPr>
      </w:pPr>
    </w:p>
    <w:p w:rsidR="00760D48" w:rsidRDefault="00760D48" w:rsidP="00760D48">
      <w:pPr>
        <w:spacing w:line="320" w:lineRule="auto"/>
        <w:ind w:left="2820" w:right="300"/>
        <w:rPr>
          <w:rFonts w:ascii="Arial" w:eastAsia="Arial" w:hAnsi="Arial"/>
          <w:color w:val="222222"/>
          <w:sz w:val="18"/>
        </w:rPr>
      </w:pPr>
      <w:r>
        <w:rPr>
          <w:rFonts w:ascii="Arial" w:eastAsia="Arial" w:hAnsi="Arial"/>
          <w:color w:val="222222"/>
          <w:sz w:val="18"/>
        </w:rPr>
        <w:t>Two important factors which could explain the difference between the two trials were the under-utilization of intravascular ultrasound (IVUS) and use of first-generation stents in 11% of PCI patients in the NOBLE trial.</w:t>
      </w:r>
    </w:p>
    <w:p w:rsidR="00760D48" w:rsidRDefault="00760D48" w:rsidP="00760D48">
      <w:pPr>
        <w:spacing w:line="263" w:lineRule="exact"/>
        <w:rPr>
          <w:rFonts w:ascii="Times New Roman" w:eastAsia="Times New Roman" w:hAnsi="Times New Roman"/>
        </w:rPr>
      </w:pPr>
    </w:p>
    <w:p w:rsidR="00760D48" w:rsidRDefault="00760D48" w:rsidP="00760D48">
      <w:pPr>
        <w:spacing w:line="307" w:lineRule="auto"/>
        <w:ind w:left="2820" w:right="100"/>
        <w:rPr>
          <w:rFonts w:ascii="Arial" w:eastAsia="Arial" w:hAnsi="Arial"/>
          <w:color w:val="222222"/>
          <w:sz w:val="18"/>
        </w:rPr>
      </w:pPr>
      <w:r>
        <w:rPr>
          <w:rFonts w:ascii="Arial" w:eastAsia="Arial" w:hAnsi="Arial"/>
          <w:color w:val="222222"/>
          <w:sz w:val="18"/>
        </w:rPr>
        <w:t xml:space="preserve">A number of factors can influence the outcome of stenting in left main stem diseases, such as lesion location, stent type, use of intravascular imaging, and complexity of lesion. The distal left main disease poses a particularly challenging vessel anatomy to treat </w:t>
      </w:r>
      <w:r>
        <w:rPr>
          <w:rFonts w:ascii="Arial" w:eastAsia="Arial" w:hAnsi="Arial"/>
          <w:color w:val="15BCA4"/>
          <w:sz w:val="18"/>
        </w:rPr>
        <w:t>[25]</w:t>
      </w:r>
      <w:r>
        <w:rPr>
          <w:rFonts w:ascii="Arial" w:eastAsia="Arial" w:hAnsi="Arial"/>
          <w:color w:val="222222"/>
          <w:sz w:val="18"/>
        </w:rPr>
        <w:t xml:space="preserve">. The Drug-Eluting Stent for Left Main Coronary Artery Disease (DELTA) registry compared ostial/mid-shaft lesions versus distal lesions. The higher rate of TLR was found with distal lesions </w:t>
      </w:r>
      <w:r>
        <w:rPr>
          <w:rFonts w:ascii="Arial" w:eastAsia="Arial" w:hAnsi="Arial"/>
          <w:color w:val="15BCA4"/>
          <w:sz w:val="18"/>
        </w:rPr>
        <w:t>[26]</w:t>
      </w:r>
      <w:r>
        <w:rPr>
          <w:rFonts w:ascii="Arial" w:eastAsia="Arial" w:hAnsi="Arial"/>
          <w:color w:val="222222"/>
          <w:sz w:val="18"/>
        </w:rPr>
        <w:t xml:space="preserve">. In our study, cases with the distal left main disease were relatively fewer, which could explain the good prognosis. Moreover, the Culotte technique appeared to be associated with better outcomes as opposed to the T-stent technique with an in-stent restenosis (ISR) rate of 21% and 56% and a TLR rate of 15% and 56%, respectively </w:t>
      </w:r>
      <w:r>
        <w:rPr>
          <w:rFonts w:ascii="Arial" w:eastAsia="Arial" w:hAnsi="Arial"/>
          <w:color w:val="15BCA4"/>
          <w:sz w:val="18"/>
        </w:rPr>
        <w:t>[25]</w:t>
      </w:r>
      <w:r>
        <w:rPr>
          <w:rFonts w:ascii="Arial" w:eastAsia="Arial" w:hAnsi="Arial"/>
          <w:color w:val="222222"/>
          <w:sz w:val="18"/>
        </w:rPr>
        <w:t>.</w:t>
      </w:r>
    </w:p>
    <w:p w:rsidR="00760D48" w:rsidRDefault="00760D48" w:rsidP="00760D48">
      <w:pPr>
        <w:spacing w:line="274" w:lineRule="exact"/>
        <w:rPr>
          <w:rFonts w:ascii="Times New Roman" w:eastAsia="Times New Roman" w:hAnsi="Times New Roman"/>
        </w:rPr>
      </w:pPr>
    </w:p>
    <w:p w:rsidR="00760D48" w:rsidRDefault="00760D48" w:rsidP="00760D48">
      <w:pPr>
        <w:spacing w:line="309" w:lineRule="auto"/>
        <w:ind w:left="2820" w:right="120"/>
        <w:rPr>
          <w:rFonts w:ascii="Arial" w:eastAsia="Arial" w:hAnsi="Arial"/>
          <w:color w:val="222222"/>
          <w:sz w:val="18"/>
        </w:rPr>
      </w:pPr>
      <w:r>
        <w:rPr>
          <w:rFonts w:ascii="Arial" w:eastAsia="Arial" w:hAnsi="Arial"/>
          <w:color w:val="222222"/>
          <w:sz w:val="18"/>
        </w:rPr>
        <w:t xml:space="preserve">In-stent restenosis and thrombosis are two of the primary concerns in patients coming for PCI. Pandya et al. showed that use of BMS was associated with poorer outcomes than DES </w:t>
      </w:r>
      <w:r>
        <w:rPr>
          <w:rFonts w:ascii="Arial" w:eastAsia="Arial" w:hAnsi="Arial"/>
          <w:color w:val="15BCA4"/>
          <w:sz w:val="18"/>
        </w:rPr>
        <w:t>[27]</w:t>
      </w:r>
      <w:r>
        <w:rPr>
          <w:rFonts w:ascii="Arial" w:eastAsia="Arial" w:hAnsi="Arial"/>
          <w:color w:val="222222"/>
          <w:sz w:val="18"/>
        </w:rPr>
        <w:t xml:space="preserve">. The Intracoronary Stenting and Angiographic Results: Drug-Eluting Stents for Unprotected Coronary Left Main Lesions (ISAR LEFT MAIN and ISAR LEFT MAIN 2) trials were carried out to compare different types of DES </w:t>
      </w:r>
      <w:r>
        <w:rPr>
          <w:rFonts w:ascii="Arial" w:eastAsia="Arial" w:hAnsi="Arial"/>
          <w:color w:val="15BCA4"/>
          <w:sz w:val="18"/>
        </w:rPr>
        <w:t>[28-29]</w:t>
      </w:r>
      <w:r>
        <w:rPr>
          <w:rFonts w:ascii="Arial" w:eastAsia="Arial" w:hAnsi="Arial"/>
          <w:color w:val="222222"/>
          <w:sz w:val="18"/>
        </w:rPr>
        <w:t>. These studies proved that outcomes were not influenced by stents (DES) from the same generation.</w:t>
      </w:r>
    </w:p>
    <w:p w:rsidR="00760D48" w:rsidRDefault="00760D48" w:rsidP="00760D48">
      <w:pPr>
        <w:spacing w:line="275" w:lineRule="exact"/>
        <w:rPr>
          <w:rFonts w:ascii="Times New Roman" w:eastAsia="Times New Roman" w:hAnsi="Times New Roman"/>
        </w:rPr>
      </w:pPr>
    </w:p>
    <w:p w:rsidR="00760D48" w:rsidRDefault="00760D48" w:rsidP="00760D48">
      <w:pPr>
        <w:spacing w:line="307" w:lineRule="auto"/>
        <w:ind w:left="2820" w:right="80"/>
        <w:rPr>
          <w:rFonts w:ascii="Arial" w:eastAsia="Arial" w:hAnsi="Arial"/>
          <w:color w:val="222222"/>
          <w:sz w:val="18"/>
        </w:rPr>
      </w:pPr>
      <w:r>
        <w:rPr>
          <w:rFonts w:ascii="Arial" w:eastAsia="Arial" w:hAnsi="Arial"/>
          <w:color w:val="222222"/>
          <w:sz w:val="18"/>
        </w:rPr>
        <w:t xml:space="preserve">Appropriate sizing and apposition of stents in LMS disease play an important role in the prevention of ISR and thrombosis. There are no large trials investigating the use of IVUS for PCI but data from certain relatively small studies, such as the MAIN-COMPARE study, point towards improved outcomes with the use of IVUS </w:t>
      </w:r>
      <w:r>
        <w:rPr>
          <w:rFonts w:ascii="Arial" w:eastAsia="Arial" w:hAnsi="Arial"/>
          <w:color w:val="15BCA4"/>
          <w:sz w:val="18"/>
        </w:rPr>
        <w:t>[30]</w:t>
      </w:r>
      <w:r>
        <w:rPr>
          <w:rFonts w:ascii="Arial" w:eastAsia="Arial" w:hAnsi="Arial"/>
          <w:color w:val="222222"/>
          <w:sz w:val="18"/>
        </w:rPr>
        <w:t>. In our study, we did not use intravascular imaging due to non-availability of IVUS in our hospital. Patients who agreed to undergo PCI were informed of this limitation. The results in our study were comparable to aforementioned studies, hence showing that absence of intravascular imaging may not be considered a major setback for intervention in left main stem disease.</w:t>
      </w:r>
    </w:p>
    <w:p w:rsidR="00760D48" w:rsidRDefault="00760D48" w:rsidP="00760D48">
      <w:pPr>
        <w:spacing w:line="246"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222222"/>
          <w:sz w:val="26"/>
        </w:rPr>
      </w:pPr>
      <w:r>
        <w:rPr>
          <w:rFonts w:ascii="Arial" w:eastAsia="Arial" w:hAnsi="Arial"/>
          <w:b/>
          <w:color w:val="222222"/>
          <w:sz w:val="26"/>
        </w:rPr>
        <w:t>Limitations</w:t>
      </w:r>
    </w:p>
    <w:p w:rsidR="00760D48" w:rsidRDefault="00760D48" w:rsidP="00760D48">
      <w:pPr>
        <w:spacing w:line="20" w:lineRule="exact"/>
        <w:rPr>
          <w:rFonts w:ascii="Times New Roman" w:eastAsia="Times New Roman" w:hAnsi="Times New Roman"/>
        </w:rPr>
      </w:pPr>
      <w:r>
        <w:rPr>
          <w:rFonts w:ascii="Arial" w:eastAsia="Arial" w:hAnsi="Arial"/>
          <w:b/>
          <w:noProof/>
          <w:color w:val="222222"/>
          <w:sz w:val="26"/>
          <w:lang w:bidi="ar-SA"/>
        </w:rPr>
        <w:drawing>
          <wp:anchor distT="0" distB="0" distL="114300" distR="114300" simplePos="0" relativeHeight="251696128" behindDoc="1" locked="0" layoutInCell="1" allowOverlap="1">
            <wp:simplePos x="0" y="0"/>
            <wp:positionH relativeFrom="column">
              <wp:posOffset>3810</wp:posOffset>
            </wp:positionH>
            <wp:positionV relativeFrom="paragraph">
              <wp:posOffset>410210</wp:posOffset>
            </wp:positionV>
            <wp:extent cx="6827520" cy="95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7520" cy="952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 w:lineRule="exact"/>
        <w:rPr>
          <w:rFonts w:ascii="Times New Roman" w:eastAsia="Times New Roman" w:hAnsi="Times New Roman"/>
        </w:rPr>
        <w:sectPr w:rsidR="00760D48">
          <w:pgSz w:w="11900" w:h="16840"/>
          <w:pgMar w:top="1146" w:right="580" w:bottom="212" w:left="560" w:header="0" w:footer="0" w:gutter="0"/>
          <w:cols w:space="0" w:equalWidth="0">
            <w:col w:w="107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323" w:lineRule="exact"/>
        <w:rPr>
          <w:rFonts w:ascii="Times New Roman" w:eastAsia="Times New Roman" w:hAnsi="Times New Roman"/>
        </w:rPr>
      </w:pPr>
    </w:p>
    <w:p w:rsidR="00760D48" w:rsidRDefault="00760D48" w:rsidP="00760D48">
      <w:pPr>
        <w:tabs>
          <w:tab w:val="left" w:pos="10240"/>
        </w:tabs>
        <w:spacing w:line="0" w:lineRule="atLeast"/>
        <w:rPr>
          <w:rFonts w:ascii="Arial" w:eastAsia="Arial" w:hAnsi="Arial"/>
          <w:sz w:val="16"/>
        </w:rPr>
      </w:pPr>
      <w:r>
        <w:rPr>
          <w:rFonts w:ascii="Arial" w:eastAsia="Arial" w:hAnsi="Arial"/>
          <w:sz w:val="17"/>
        </w:rPr>
        <w:t>2018 Mahmood et al. Cureus 10(6): e2857. DOI 10.7759/cureus.2857</w:t>
      </w:r>
      <w:r>
        <w:rPr>
          <w:rFonts w:ascii="Times New Roman" w:eastAsia="Times New Roman" w:hAnsi="Times New Roman"/>
        </w:rPr>
        <w:tab/>
      </w:r>
      <w:r>
        <w:rPr>
          <w:rFonts w:ascii="Arial" w:eastAsia="Arial" w:hAnsi="Arial"/>
          <w:sz w:val="16"/>
        </w:rPr>
        <w:t>7 of 10</w:t>
      </w:r>
    </w:p>
    <w:p w:rsidR="00760D48" w:rsidRDefault="00760D48" w:rsidP="00760D48">
      <w:pPr>
        <w:tabs>
          <w:tab w:val="left" w:pos="10240"/>
        </w:tabs>
        <w:spacing w:line="0" w:lineRule="atLeast"/>
        <w:rPr>
          <w:rFonts w:ascii="Arial" w:eastAsia="Arial" w:hAnsi="Arial"/>
          <w:sz w:val="16"/>
        </w:rPr>
        <w:sectPr w:rsidR="00760D48">
          <w:type w:val="continuous"/>
          <w:pgSz w:w="11900" w:h="16840"/>
          <w:pgMar w:top="1146" w:right="580" w:bottom="212" w:left="560" w:header="0" w:footer="0" w:gutter="0"/>
          <w:cols w:space="0" w:equalWidth="0">
            <w:col w:w="10760"/>
          </w:cols>
          <w:docGrid w:linePitch="360"/>
        </w:sectPr>
      </w:pPr>
    </w:p>
    <w:p w:rsidR="00760D48" w:rsidRDefault="00760D48" w:rsidP="00760D48">
      <w:pPr>
        <w:spacing w:line="0" w:lineRule="atLeast"/>
        <w:ind w:left="2820"/>
        <w:rPr>
          <w:rFonts w:ascii="Arial" w:eastAsia="Arial" w:hAnsi="Arial"/>
          <w:color w:val="222222"/>
          <w:sz w:val="18"/>
        </w:rPr>
      </w:pPr>
      <w:bookmarkStart w:id="7" w:name="page8"/>
      <w:bookmarkEnd w:id="7"/>
      <w:r>
        <w:rPr>
          <w:rFonts w:ascii="Arial" w:eastAsia="Arial" w:hAnsi="Arial"/>
          <w:noProof/>
          <w:sz w:val="16"/>
          <w:lang w:bidi="ar-SA"/>
        </w:rPr>
        <w:lastRenderedPageBreak/>
        <w:drawing>
          <wp:anchor distT="0" distB="0" distL="114300" distR="114300" simplePos="0" relativeHeight="251697152" behindDoc="1" locked="0" layoutInCell="1" allowOverlap="1">
            <wp:simplePos x="0" y="0"/>
            <wp:positionH relativeFrom="page">
              <wp:posOffset>437515</wp:posOffset>
            </wp:positionH>
            <wp:positionV relativeFrom="page">
              <wp:posOffset>354965</wp:posOffset>
            </wp:positionV>
            <wp:extent cx="653415" cy="1460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46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22222"/>
          <w:sz w:val="18"/>
        </w:rPr>
        <w:t>The sample size was relatively small due to stringent inclusion criteria of our study.</w:t>
      </w:r>
    </w:p>
    <w:p w:rsidR="00760D48" w:rsidRDefault="00760D48" w:rsidP="00760D48">
      <w:pPr>
        <w:spacing w:line="329"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222222"/>
          <w:sz w:val="26"/>
        </w:rPr>
      </w:pPr>
      <w:r>
        <w:rPr>
          <w:rFonts w:ascii="Arial" w:eastAsia="Arial" w:hAnsi="Arial"/>
          <w:b/>
          <w:color w:val="222222"/>
          <w:sz w:val="26"/>
        </w:rPr>
        <w:t>Future</w:t>
      </w:r>
    </w:p>
    <w:p w:rsidR="00760D48" w:rsidRDefault="00760D48" w:rsidP="00760D48">
      <w:pPr>
        <w:spacing w:line="179" w:lineRule="exact"/>
        <w:rPr>
          <w:rFonts w:ascii="Times New Roman" w:eastAsia="Times New Roman" w:hAnsi="Times New Roman"/>
        </w:rPr>
      </w:pPr>
    </w:p>
    <w:p w:rsidR="00760D48" w:rsidRDefault="00760D48" w:rsidP="00760D48">
      <w:pPr>
        <w:spacing w:line="311" w:lineRule="auto"/>
        <w:ind w:left="2820" w:right="320"/>
        <w:rPr>
          <w:rFonts w:ascii="Arial" w:eastAsia="Arial" w:hAnsi="Arial"/>
          <w:color w:val="222222"/>
          <w:sz w:val="18"/>
        </w:rPr>
      </w:pPr>
      <w:r>
        <w:rPr>
          <w:rFonts w:ascii="Arial" w:eastAsia="Arial" w:hAnsi="Arial"/>
          <w:color w:val="222222"/>
          <w:sz w:val="18"/>
        </w:rPr>
        <w:t>In recent times, the outcomes of PCI in LMS disease have improved drastically. This can be attributed to improved stent technology, drug-delivery systems, intravascular imaging, and more potent antiplatelet drugs. More randomized controlled trials (RCTs) are required to establish PCI as a standard treatment option for LMS disease in an era dominated by CABG as the gold standard.</w:t>
      </w:r>
    </w:p>
    <w:p w:rsidR="00760D48" w:rsidRDefault="00760D48" w:rsidP="00760D48">
      <w:pPr>
        <w:spacing w:line="200"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15BCA4"/>
          <w:sz w:val="32"/>
        </w:rPr>
      </w:pPr>
      <w:r>
        <w:rPr>
          <w:rFonts w:ascii="Arial" w:eastAsia="Arial" w:hAnsi="Arial"/>
          <w:b/>
          <w:color w:val="15BCA4"/>
          <w:sz w:val="32"/>
        </w:rPr>
        <w:t>Conclusions</w:t>
      </w:r>
    </w:p>
    <w:p w:rsidR="00760D48" w:rsidRDefault="00760D48" w:rsidP="00760D48">
      <w:pPr>
        <w:spacing w:line="149" w:lineRule="exact"/>
        <w:rPr>
          <w:rFonts w:ascii="Times New Roman" w:eastAsia="Times New Roman" w:hAnsi="Times New Roman"/>
        </w:rPr>
      </w:pPr>
    </w:p>
    <w:p w:rsidR="00760D48" w:rsidRDefault="00760D48" w:rsidP="00760D48">
      <w:pPr>
        <w:spacing w:line="309" w:lineRule="auto"/>
        <w:ind w:left="2820" w:right="120"/>
        <w:rPr>
          <w:rFonts w:ascii="Arial" w:eastAsia="Arial" w:hAnsi="Arial"/>
          <w:color w:val="222222"/>
          <w:sz w:val="18"/>
        </w:rPr>
      </w:pPr>
      <w:r>
        <w:rPr>
          <w:rFonts w:ascii="Arial" w:eastAsia="Arial" w:hAnsi="Arial"/>
          <w:color w:val="222222"/>
          <w:sz w:val="18"/>
        </w:rPr>
        <w:t>Percutaneous coronary intervention to left main coronary artery stenosis without the use of intravascular imaging showed good prognosis. It would not only save a huge amount of time for physicians during procedures but also prevent a financial burden on patients if they cannot afford intravascular imaging. Hence, more patients will benefit from left main coronary artery interventions, which are considered high-risk by interventionists. Further studies with large sample sizes and longer follow-up will be required to properly ascertain a full prognosis.</w:t>
      </w:r>
    </w:p>
    <w:p w:rsidR="00760D48" w:rsidRDefault="00760D48" w:rsidP="00760D48">
      <w:pPr>
        <w:spacing w:line="204"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15BCA4"/>
          <w:sz w:val="32"/>
        </w:rPr>
      </w:pPr>
      <w:r>
        <w:rPr>
          <w:rFonts w:ascii="Arial" w:eastAsia="Arial" w:hAnsi="Arial"/>
          <w:b/>
          <w:color w:val="15BCA4"/>
          <w:sz w:val="32"/>
        </w:rPr>
        <w:t>Additional Information</w:t>
      </w:r>
    </w:p>
    <w:p w:rsidR="00760D48" w:rsidRDefault="00760D48" w:rsidP="00760D48">
      <w:pPr>
        <w:spacing w:line="153"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222222"/>
          <w:sz w:val="26"/>
        </w:rPr>
      </w:pPr>
      <w:r>
        <w:rPr>
          <w:rFonts w:ascii="Arial" w:eastAsia="Arial" w:hAnsi="Arial"/>
          <w:b/>
          <w:color w:val="222222"/>
          <w:sz w:val="26"/>
        </w:rPr>
        <w:t>Disclosures</w:t>
      </w:r>
    </w:p>
    <w:p w:rsidR="00760D48" w:rsidRDefault="00760D48" w:rsidP="00760D48">
      <w:pPr>
        <w:spacing w:line="143" w:lineRule="exact"/>
        <w:rPr>
          <w:rFonts w:ascii="Times New Roman" w:eastAsia="Times New Roman" w:hAnsi="Times New Roman"/>
        </w:rPr>
      </w:pPr>
    </w:p>
    <w:p w:rsidR="00760D48" w:rsidRDefault="00760D48" w:rsidP="00760D48">
      <w:pPr>
        <w:spacing w:line="306" w:lineRule="auto"/>
        <w:ind w:left="2820" w:right="200"/>
        <w:rPr>
          <w:rFonts w:ascii="Arial" w:eastAsia="Arial" w:hAnsi="Arial"/>
          <w:color w:val="222222"/>
          <w:sz w:val="18"/>
        </w:rPr>
      </w:pPr>
      <w:r>
        <w:rPr>
          <w:rFonts w:ascii="Arial" w:eastAsia="Arial" w:hAnsi="Arial"/>
          <w:b/>
          <w:color w:val="222222"/>
          <w:sz w:val="18"/>
        </w:rPr>
        <w:t xml:space="preserve">Human subjects: </w:t>
      </w:r>
      <w:r>
        <w:rPr>
          <w:rFonts w:ascii="Arial" w:eastAsia="Arial" w:hAnsi="Arial"/>
          <w:color w:val="222222"/>
          <w:sz w:val="18"/>
        </w:rPr>
        <w:t>Consent was obtained by all participants in this study. Rehman Medical</w:t>
      </w:r>
      <w:r>
        <w:rPr>
          <w:rFonts w:ascii="Arial" w:eastAsia="Arial" w:hAnsi="Arial"/>
          <w:b/>
          <w:color w:val="222222"/>
          <w:sz w:val="18"/>
        </w:rPr>
        <w:t xml:space="preserve"> </w:t>
      </w:r>
      <w:r>
        <w:rPr>
          <w:rFonts w:ascii="Arial" w:eastAsia="Arial" w:hAnsi="Arial"/>
          <w:color w:val="222222"/>
          <w:sz w:val="18"/>
        </w:rPr>
        <w:t xml:space="preserve">Institute Ethical Review Committee issued approval not applicable. Approved. </w:t>
      </w:r>
      <w:r>
        <w:rPr>
          <w:rFonts w:ascii="Arial" w:eastAsia="Arial" w:hAnsi="Arial"/>
          <w:b/>
          <w:color w:val="222222"/>
          <w:sz w:val="18"/>
        </w:rPr>
        <w:t>Animal</w:t>
      </w:r>
      <w:r>
        <w:rPr>
          <w:rFonts w:ascii="Arial" w:eastAsia="Arial" w:hAnsi="Arial"/>
          <w:color w:val="222222"/>
          <w:sz w:val="18"/>
        </w:rPr>
        <w:t xml:space="preserve"> </w:t>
      </w:r>
      <w:r>
        <w:rPr>
          <w:rFonts w:ascii="Arial" w:eastAsia="Arial" w:hAnsi="Arial"/>
          <w:b/>
          <w:color w:val="222222"/>
          <w:sz w:val="18"/>
        </w:rPr>
        <w:t xml:space="preserve">subjects: </w:t>
      </w:r>
      <w:r>
        <w:rPr>
          <w:rFonts w:ascii="Arial" w:eastAsia="Arial" w:hAnsi="Arial"/>
          <w:color w:val="222222"/>
          <w:sz w:val="18"/>
        </w:rPr>
        <w:t>All authors have confirmed that this study did not involve animal subjects or tissue.</w:t>
      </w:r>
      <w:r>
        <w:rPr>
          <w:rFonts w:ascii="Arial" w:eastAsia="Arial" w:hAnsi="Arial"/>
          <w:b/>
          <w:color w:val="222222"/>
          <w:sz w:val="18"/>
        </w:rPr>
        <w:t xml:space="preserve"> Conflicts of interest: </w:t>
      </w:r>
      <w:r>
        <w:rPr>
          <w:rFonts w:ascii="Arial" w:eastAsia="Arial" w:hAnsi="Arial"/>
          <w:color w:val="222222"/>
          <w:sz w:val="18"/>
        </w:rPr>
        <w:t>In compliance with the ICMJE uniform disclosure form, all authors</w:t>
      </w:r>
      <w:r>
        <w:rPr>
          <w:rFonts w:ascii="Arial" w:eastAsia="Arial" w:hAnsi="Arial"/>
          <w:b/>
          <w:color w:val="222222"/>
          <w:sz w:val="18"/>
        </w:rPr>
        <w:t xml:space="preserve"> </w:t>
      </w:r>
      <w:r>
        <w:rPr>
          <w:rFonts w:ascii="Arial" w:eastAsia="Arial" w:hAnsi="Arial"/>
          <w:color w:val="222222"/>
          <w:sz w:val="18"/>
        </w:rPr>
        <w:t xml:space="preserve">declare the following: </w:t>
      </w:r>
      <w:r>
        <w:rPr>
          <w:rFonts w:ascii="Arial" w:eastAsia="Arial" w:hAnsi="Arial"/>
          <w:b/>
          <w:color w:val="222222"/>
          <w:sz w:val="18"/>
        </w:rPr>
        <w:t>Payment/services info:</w:t>
      </w:r>
      <w:r>
        <w:rPr>
          <w:rFonts w:ascii="Arial" w:eastAsia="Arial" w:hAnsi="Arial"/>
          <w:color w:val="222222"/>
          <w:sz w:val="18"/>
        </w:rPr>
        <w:t xml:space="preserve"> All authors have declared that no financial support was received from any organization for the submitted work. </w:t>
      </w:r>
      <w:r>
        <w:rPr>
          <w:rFonts w:ascii="Arial" w:eastAsia="Arial" w:hAnsi="Arial"/>
          <w:b/>
          <w:color w:val="222222"/>
          <w:sz w:val="18"/>
        </w:rPr>
        <w:t>Financial relationships:</w:t>
      </w:r>
      <w:r>
        <w:rPr>
          <w:rFonts w:ascii="Arial" w:eastAsia="Arial" w:hAnsi="Arial"/>
          <w:color w:val="222222"/>
          <w:sz w:val="18"/>
        </w:rPr>
        <w:t xml:space="preserve"> All authors have declared that they have no financial relationships at present or within the previous three years with any organizations that might have an interest in the submitted work. </w:t>
      </w:r>
      <w:r>
        <w:rPr>
          <w:rFonts w:ascii="Arial" w:eastAsia="Arial" w:hAnsi="Arial"/>
          <w:b/>
          <w:color w:val="222222"/>
          <w:sz w:val="18"/>
        </w:rPr>
        <w:t xml:space="preserve">Other relationships: </w:t>
      </w:r>
      <w:r>
        <w:rPr>
          <w:rFonts w:ascii="Arial" w:eastAsia="Arial" w:hAnsi="Arial"/>
          <w:color w:val="222222"/>
          <w:sz w:val="18"/>
        </w:rPr>
        <w:t>All authors have declared that there are no other relationships or</w:t>
      </w:r>
      <w:r>
        <w:rPr>
          <w:rFonts w:ascii="Arial" w:eastAsia="Arial" w:hAnsi="Arial"/>
          <w:b/>
          <w:color w:val="222222"/>
          <w:sz w:val="18"/>
        </w:rPr>
        <w:t xml:space="preserve"> </w:t>
      </w:r>
      <w:r>
        <w:rPr>
          <w:rFonts w:ascii="Arial" w:eastAsia="Arial" w:hAnsi="Arial"/>
          <w:color w:val="222222"/>
          <w:sz w:val="18"/>
        </w:rPr>
        <w:t>activities that could appear to have influenced the submitted work.</w:t>
      </w:r>
    </w:p>
    <w:p w:rsidR="00760D48" w:rsidRDefault="00760D48" w:rsidP="00760D48">
      <w:pPr>
        <w:spacing w:line="208" w:lineRule="exact"/>
        <w:rPr>
          <w:rFonts w:ascii="Times New Roman" w:eastAsia="Times New Roman" w:hAnsi="Times New Roman"/>
        </w:rPr>
      </w:pPr>
    </w:p>
    <w:p w:rsidR="00760D48" w:rsidRDefault="00760D48" w:rsidP="00760D48">
      <w:pPr>
        <w:spacing w:line="0" w:lineRule="atLeast"/>
        <w:ind w:left="2820"/>
        <w:rPr>
          <w:rFonts w:ascii="Arial" w:eastAsia="Arial" w:hAnsi="Arial"/>
          <w:b/>
          <w:color w:val="15BCA4"/>
          <w:sz w:val="32"/>
        </w:rPr>
      </w:pPr>
      <w:r>
        <w:rPr>
          <w:rFonts w:ascii="Arial" w:eastAsia="Arial" w:hAnsi="Arial"/>
          <w:b/>
          <w:color w:val="15BCA4"/>
          <w:sz w:val="32"/>
        </w:rPr>
        <w:t>References</w:t>
      </w:r>
    </w:p>
    <w:p w:rsidR="00760D48" w:rsidRDefault="00760D48" w:rsidP="00760D48">
      <w:pPr>
        <w:spacing w:line="149" w:lineRule="exact"/>
        <w:rPr>
          <w:rFonts w:ascii="Times New Roman" w:eastAsia="Times New Roman" w:hAnsi="Times New Roman"/>
        </w:rPr>
      </w:pPr>
    </w:p>
    <w:p w:rsidR="00760D48" w:rsidRDefault="001D2EC7" w:rsidP="00760D48">
      <w:pPr>
        <w:widowControl/>
        <w:numPr>
          <w:ilvl w:val="0"/>
          <w:numId w:val="6"/>
        </w:numPr>
        <w:tabs>
          <w:tab w:val="left" w:pos="3560"/>
        </w:tabs>
        <w:autoSpaceDE/>
        <w:autoSpaceDN/>
        <w:spacing w:line="301" w:lineRule="auto"/>
        <w:ind w:left="3560" w:right="240" w:hanging="374"/>
        <w:rPr>
          <w:rFonts w:ascii="Arial" w:eastAsia="Arial" w:hAnsi="Arial"/>
          <w:color w:val="222222"/>
          <w:sz w:val="17"/>
        </w:rPr>
      </w:pPr>
      <w:hyperlink r:id="rId20" w:history="1">
        <w:r w:rsidR="00760D48">
          <w:rPr>
            <w:rFonts w:ascii="Arial" w:eastAsia="Arial" w:hAnsi="Arial"/>
            <w:color w:val="222222"/>
            <w:sz w:val="17"/>
          </w:rPr>
          <w:t>Caracciolo EA, Davis KB, Sopko G, et al.: Comparison of surgical and medical group; survival</w:t>
        </w:r>
      </w:hyperlink>
      <w:r w:rsidR="00760D48">
        <w:rPr>
          <w:rFonts w:ascii="Arial" w:eastAsia="Arial" w:hAnsi="Arial"/>
          <w:color w:val="222222"/>
          <w:sz w:val="17"/>
        </w:rPr>
        <w:t xml:space="preserve"> </w:t>
      </w:r>
      <w:hyperlink r:id="rId21" w:history="1">
        <w:r w:rsidR="00760D48">
          <w:rPr>
            <w:rFonts w:ascii="Arial" w:eastAsia="Arial" w:hAnsi="Arial"/>
            <w:color w:val="222222"/>
            <w:sz w:val="17"/>
          </w:rPr>
          <w:t>in patients with left main coronary artery disease. Circulation. 1995, 91:2325-34.</w:t>
        </w:r>
      </w:hyperlink>
    </w:p>
    <w:p w:rsidR="00760D48" w:rsidRDefault="00760D48" w:rsidP="00760D48">
      <w:pPr>
        <w:spacing w:line="1" w:lineRule="exact"/>
        <w:rPr>
          <w:rFonts w:ascii="Arial" w:eastAsia="Arial" w:hAnsi="Arial"/>
          <w:color w:val="222222"/>
          <w:sz w:val="17"/>
        </w:rPr>
      </w:pPr>
    </w:p>
    <w:p w:rsidR="00760D48" w:rsidRDefault="001D2EC7" w:rsidP="00760D48">
      <w:pPr>
        <w:spacing w:line="0" w:lineRule="atLeast"/>
        <w:ind w:left="3560"/>
        <w:rPr>
          <w:rFonts w:ascii="Arial" w:eastAsia="Arial" w:hAnsi="Arial"/>
          <w:color w:val="15BCA4"/>
          <w:sz w:val="17"/>
        </w:rPr>
      </w:pPr>
      <w:hyperlink r:id="rId22" w:history="1">
        <w:r w:rsidR="00760D48">
          <w:rPr>
            <w:rFonts w:ascii="Arial" w:eastAsia="Arial" w:hAnsi="Arial"/>
            <w:color w:val="15BCA4"/>
            <w:sz w:val="17"/>
          </w:rPr>
          <w:t>10.1161/01.CIR.91.9.2325</w:t>
        </w:r>
      </w:hyperlink>
    </w:p>
    <w:p w:rsidR="00760D48" w:rsidRDefault="00760D48" w:rsidP="00760D48">
      <w:pPr>
        <w:spacing w:line="50" w:lineRule="exact"/>
        <w:rPr>
          <w:rFonts w:ascii="Arial" w:eastAsia="Arial" w:hAnsi="Arial"/>
          <w:color w:val="15BCA4"/>
          <w:sz w:val="17"/>
        </w:rPr>
      </w:pPr>
    </w:p>
    <w:p w:rsidR="00760D48" w:rsidRDefault="001D2EC7" w:rsidP="00760D48">
      <w:pPr>
        <w:widowControl/>
        <w:numPr>
          <w:ilvl w:val="0"/>
          <w:numId w:val="6"/>
        </w:numPr>
        <w:tabs>
          <w:tab w:val="left" w:pos="3560"/>
        </w:tabs>
        <w:autoSpaceDE/>
        <w:autoSpaceDN/>
        <w:spacing w:line="320" w:lineRule="auto"/>
        <w:ind w:left="3560" w:right="620" w:hanging="374"/>
        <w:jc w:val="both"/>
        <w:rPr>
          <w:rFonts w:ascii="Arial" w:eastAsia="Arial" w:hAnsi="Arial"/>
          <w:color w:val="222222"/>
          <w:sz w:val="16"/>
        </w:rPr>
      </w:pPr>
      <w:hyperlink r:id="rId23" w:history="1">
        <w:r w:rsidR="00760D48">
          <w:rPr>
            <w:rFonts w:ascii="Arial" w:eastAsia="Arial" w:hAnsi="Arial"/>
            <w:color w:val="222222"/>
            <w:sz w:val="16"/>
          </w:rPr>
          <w:t>Chikwe J, Kim M, Goldstone AB, et al.: Current diagnosis and management of left main</w:t>
        </w:r>
      </w:hyperlink>
      <w:r w:rsidR="00760D48">
        <w:rPr>
          <w:rFonts w:ascii="Arial" w:eastAsia="Arial" w:hAnsi="Arial"/>
          <w:color w:val="222222"/>
          <w:sz w:val="16"/>
        </w:rPr>
        <w:t xml:space="preserve"> </w:t>
      </w:r>
      <w:hyperlink r:id="rId24" w:history="1">
        <w:r w:rsidR="00760D48">
          <w:rPr>
            <w:rFonts w:ascii="Arial" w:eastAsia="Arial" w:hAnsi="Arial"/>
            <w:color w:val="222222"/>
            <w:sz w:val="16"/>
          </w:rPr>
          <w:t xml:space="preserve">coronary disease. Eur J Cardiothorac Surg. 2010, 38:420-30. </w:t>
        </w:r>
        <w:r w:rsidR="00760D48">
          <w:rPr>
            <w:rFonts w:ascii="Arial" w:eastAsia="Arial" w:hAnsi="Arial"/>
            <w:color w:val="15BCA4"/>
            <w:sz w:val="16"/>
          </w:rPr>
          <w:t>10.1016/j.ejcts.2010.03.003</w:t>
        </w:r>
      </w:hyperlink>
    </w:p>
    <w:p w:rsidR="00760D48" w:rsidRDefault="001D2EC7" w:rsidP="00760D48">
      <w:pPr>
        <w:widowControl/>
        <w:numPr>
          <w:ilvl w:val="0"/>
          <w:numId w:val="6"/>
        </w:numPr>
        <w:tabs>
          <w:tab w:val="left" w:pos="3560"/>
        </w:tabs>
        <w:autoSpaceDE/>
        <w:autoSpaceDN/>
        <w:spacing w:line="320" w:lineRule="auto"/>
        <w:ind w:left="3560" w:right="200" w:hanging="374"/>
        <w:rPr>
          <w:rFonts w:ascii="Arial" w:eastAsia="Arial" w:hAnsi="Arial"/>
          <w:color w:val="222222"/>
          <w:sz w:val="16"/>
        </w:rPr>
      </w:pPr>
      <w:hyperlink r:id="rId25" w:history="1">
        <w:r w:rsidR="00760D48">
          <w:rPr>
            <w:rFonts w:ascii="Arial" w:eastAsia="Arial" w:hAnsi="Arial"/>
            <w:color w:val="222222"/>
            <w:sz w:val="16"/>
          </w:rPr>
          <w:t>Rao V, Ivanov J, Weisel RD, et al.: Predictors of low cardiac output syndrome after coronary</w:t>
        </w:r>
      </w:hyperlink>
      <w:r w:rsidR="00760D48">
        <w:rPr>
          <w:rFonts w:ascii="Arial" w:eastAsia="Arial" w:hAnsi="Arial"/>
          <w:color w:val="222222"/>
          <w:sz w:val="16"/>
        </w:rPr>
        <w:t xml:space="preserve"> </w:t>
      </w:r>
      <w:hyperlink r:id="rId26" w:history="1">
        <w:r w:rsidR="00760D48">
          <w:rPr>
            <w:rFonts w:ascii="Arial" w:eastAsia="Arial" w:hAnsi="Arial"/>
            <w:color w:val="222222"/>
            <w:sz w:val="16"/>
          </w:rPr>
          <w:t xml:space="preserve">artery bypass. J Thorac Cardiovasc Surg. 1996, 112(1):38-51. </w:t>
        </w:r>
        <w:r w:rsidR="00760D48">
          <w:rPr>
            <w:rFonts w:ascii="Arial" w:eastAsia="Arial" w:hAnsi="Arial"/>
            <w:color w:val="15BCA4"/>
            <w:sz w:val="16"/>
          </w:rPr>
          <w:t>10.1016/S0022-5223(96)70176-9</w:t>
        </w:r>
      </w:hyperlink>
    </w:p>
    <w:p w:rsidR="00760D48" w:rsidRDefault="001D2EC7" w:rsidP="00760D48">
      <w:pPr>
        <w:widowControl/>
        <w:numPr>
          <w:ilvl w:val="0"/>
          <w:numId w:val="6"/>
        </w:numPr>
        <w:tabs>
          <w:tab w:val="left" w:pos="3560"/>
        </w:tabs>
        <w:autoSpaceDE/>
        <w:autoSpaceDN/>
        <w:spacing w:line="301" w:lineRule="auto"/>
        <w:ind w:left="3560" w:right="200" w:hanging="374"/>
        <w:rPr>
          <w:rFonts w:ascii="Arial" w:eastAsia="Arial" w:hAnsi="Arial"/>
          <w:color w:val="222222"/>
          <w:sz w:val="17"/>
        </w:rPr>
      </w:pPr>
      <w:hyperlink r:id="rId27" w:history="1">
        <w:r w:rsidR="00760D48">
          <w:rPr>
            <w:rFonts w:ascii="Arial" w:eastAsia="Arial" w:hAnsi="Arial"/>
            <w:color w:val="222222"/>
            <w:sz w:val="17"/>
          </w:rPr>
          <w:t>Jönsson A, Ivert T, Svane B, et al.: Classification of left main coronary obstruction: feasibility</w:t>
        </w:r>
      </w:hyperlink>
      <w:r w:rsidR="00760D48">
        <w:rPr>
          <w:rFonts w:ascii="Arial" w:eastAsia="Arial" w:hAnsi="Arial"/>
          <w:color w:val="222222"/>
          <w:sz w:val="17"/>
        </w:rPr>
        <w:t xml:space="preserve"> </w:t>
      </w:r>
      <w:hyperlink r:id="rId28" w:history="1">
        <w:r w:rsidR="00760D48">
          <w:rPr>
            <w:rFonts w:ascii="Arial" w:eastAsia="Arial" w:hAnsi="Arial"/>
            <w:color w:val="222222"/>
            <w:sz w:val="17"/>
          </w:rPr>
          <w:t>of surgical angioplasty and survival after coronary artery bypass surgery. Cardiovasc Surg.</w:t>
        </w:r>
      </w:hyperlink>
      <w:r w:rsidR="00760D48">
        <w:rPr>
          <w:rFonts w:ascii="Arial" w:eastAsia="Arial" w:hAnsi="Arial"/>
          <w:color w:val="222222"/>
          <w:sz w:val="17"/>
        </w:rPr>
        <w:t xml:space="preserve"> 2003, 11(6):497-505. </w:t>
      </w:r>
      <w:hyperlink r:id="rId29" w:history="1">
        <w:r w:rsidR="00760D48">
          <w:rPr>
            <w:rFonts w:ascii="Arial" w:eastAsia="Arial" w:hAnsi="Arial"/>
            <w:color w:val="15BCA4"/>
            <w:sz w:val="17"/>
          </w:rPr>
          <w:t>10.1016/S0967-2109(03)00111-X</w:t>
        </w:r>
      </w:hyperlink>
    </w:p>
    <w:p w:rsidR="00760D48" w:rsidRDefault="00760D48" w:rsidP="00760D48">
      <w:pPr>
        <w:spacing w:line="1" w:lineRule="exact"/>
        <w:rPr>
          <w:rFonts w:ascii="Arial" w:eastAsia="Arial" w:hAnsi="Arial"/>
          <w:color w:val="222222"/>
          <w:sz w:val="17"/>
        </w:rPr>
      </w:pPr>
    </w:p>
    <w:p w:rsidR="00760D48" w:rsidRDefault="001D2EC7" w:rsidP="00760D48">
      <w:pPr>
        <w:widowControl/>
        <w:numPr>
          <w:ilvl w:val="0"/>
          <w:numId w:val="6"/>
        </w:numPr>
        <w:tabs>
          <w:tab w:val="left" w:pos="3560"/>
        </w:tabs>
        <w:autoSpaceDE/>
        <w:autoSpaceDN/>
        <w:spacing w:line="320" w:lineRule="auto"/>
        <w:ind w:left="3560" w:right="80" w:hanging="374"/>
        <w:rPr>
          <w:rFonts w:ascii="Arial" w:eastAsia="Arial" w:hAnsi="Arial"/>
          <w:color w:val="222222"/>
          <w:sz w:val="16"/>
        </w:rPr>
      </w:pPr>
      <w:hyperlink r:id="rId30" w:history="1">
        <w:r w:rsidR="00760D48">
          <w:rPr>
            <w:rFonts w:ascii="Arial" w:eastAsia="Arial" w:hAnsi="Arial"/>
            <w:color w:val="222222"/>
            <w:sz w:val="16"/>
          </w:rPr>
          <w:t>Fihn SD, Blankenship JC, Alexander KP, et al.: 2014 ACC/AHA/AATS/PCNA/ SCAI/STS focused</w:t>
        </w:r>
      </w:hyperlink>
      <w:r w:rsidR="00760D48">
        <w:rPr>
          <w:rFonts w:ascii="Arial" w:eastAsia="Arial" w:hAnsi="Arial"/>
          <w:color w:val="222222"/>
          <w:sz w:val="16"/>
        </w:rPr>
        <w:t xml:space="preserve"> </w:t>
      </w:r>
      <w:hyperlink r:id="rId31" w:history="1">
        <w:r w:rsidR="00760D48">
          <w:rPr>
            <w:rFonts w:ascii="Arial" w:eastAsia="Arial" w:hAnsi="Arial"/>
            <w:color w:val="222222"/>
            <w:sz w:val="16"/>
          </w:rPr>
          <w:t>update of the guideline for the diagnosis and management of patients with stable ischemic</w:t>
        </w:r>
      </w:hyperlink>
      <w:r w:rsidR="00760D48">
        <w:rPr>
          <w:rFonts w:ascii="Arial" w:eastAsia="Arial" w:hAnsi="Arial"/>
          <w:color w:val="222222"/>
          <w:sz w:val="16"/>
        </w:rPr>
        <w:t xml:space="preserve"> </w:t>
      </w:r>
      <w:hyperlink r:id="rId32" w:history="1">
        <w:r w:rsidR="00760D48">
          <w:rPr>
            <w:rFonts w:ascii="Arial" w:eastAsia="Arial" w:hAnsi="Arial"/>
            <w:color w:val="222222"/>
            <w:sz w:val="16"/>
          </w:rPr>
          <w:t>heart disease: a report of the American College of Cardiology/ American Heart Association</w:t>
        </w:r>
      </w:hyperlink>
      <w:r w:rsidR="00760D48">
        <w:rPr>
          <w:rFonts w:ascii="Arial" w:eastAsia="Arial" w:hAnsi="Arial"/>
          <w:color w:val="222222"/>
          <w:sz w:val="16"/>
        </w:rPr>
        <w:t xml:space="preserve"> </w:t>
      </w:r>
      <w:hyperlink r:id="rId33" w:history="1">
        <w:r w:rsidR="00760D48">
          <w:rPr>
            <w:rFonts w:ascii="Arial" w:eastAsia="Arial" w:hAnsi="Arial"/>
            <w:color w:val="222222"/>
            <w:sz w:val="16"/>
          </w:rPr>
          <w:t>Task Force on Practice Guidelines, and the American Association for Thoracic Surgery,</w:t>
        </w:r>
      </w:hyperlink>
      <w:r w:rsidR="00760D48">
        <w:rPr>
          <w:rFonts w:ascii="Arial" w:eastAsia="Arial" w:hAnsi="Arial"/>
          <w:color w:val="222222"/>
          <w:sz w:val="16"/>
        </w:rPr>
        <w:t xml:space="preserve"> </w:t>
      </w:r>
      <w:hyperlink r:id="rId34" w:history="1">
        <w:r w:rsidR="00760D48">
          <w:rPr>
            <w:rFonts w:ascii="Arial" w:eastAsia="Arial" w:hAnsi="Arial"/>
            <w:color w:val="222222"/>
            <w:sz w:val="16"/>
          </w:rPr>
          <w:t>Preventive Cardiovascular Nurses Association, Society for Cardiovascular Angiography and</w:t>
        </w:r>
      </w:hyperlink>
      <w:r w:rsidR="00760D48">
        <w:rPr>
          <w:rFonts w:ascii="Arial" w:eastAsia="Arial" w:hAnsi="Arial"/>
          <w:color w:val="222222"/>
          <w:sz w:val="16"/>
        </w:rPr>
        <w:t xml:space="preserve"> </w:t>
      </w:r>
      <w:hyperlink r:id="rId35" w:history="1">
        <w:r w:rsidR="00760D48">
          <w:rPr>
            <w:rFonts w:ascii="Arial" w:eastAsia="Arial" w:hAnsi="Arial"/>
            <w:color w:val="222222"/>
            <w:sz w:val="16"/>
          </w:rPr>
          <w:t>Interventions, and Society of Thoracic Surgeons. J Am Coll Cardiol. 2014, 64:1929-49.</w:t>
        </w:r>
      </w:hyperlink>
    </w:p>
    <w:p w:rsidR="00760D48" w:rsidRDefault="00760D48" w:rsidP="00760D48">
      <w:pPr>
        <w:spacing w:line="2" w:lineRule="exact"/>
        <w:rPr>
          <w:rFonts w:ascii="Arial" w:eastAsia="Arial" w:hAnsi="Arial"/>
          <w:color w:val="222222"/>
          <w:sz w:val="16"/>
        </w:rPr>
      </w:pPr>
    </w:p>
    <w:p w:rsidR="00760D48" w:rsidRDefault="001D2EC7" w:rsidP="00760D48">
      <w:pPr>
        <w:spacing w:line="0" w:lineRule="atLeast"/>
        <w:ind w:left="3560"/>
        <w:rPr>
          <w:rFonts w:ascii="Arial" w:eastAsia="Arial" w:hAnsi="Arial"/>
          <w:color w:val="15BCA4"/>
          <w:sz w:val="17"/>
        </w:rPr>
      </w:pPr>
      <w:hyperlink r:id="rId36" w:history="1">
        <w:r w:rsidR="00760D48">
          <w:rPr>
            <w:rFonts w:ascii="Arial" w:eastAsia="Arial" w:hAnsi="Arial"/>
            <w:color w:val="15BCA4"/>
            <w:sz w:val="17"/>
          </w:rPr>
          <w:t>10.1016/j.jacc.2014.07.017</w:t>
        </w:r>
      </w:hyperlink>
    </w:p>
    <w:p w:rsidR="00760D48" w:rsidRDefault="00760D48" w:rsidP="00760D48">
      <w:pPr>
        <w:spacing w:line="50" w:lineRule="exact"/>
        <w:rPr>
          <w:rFonts w:ascii="Arial" w:eastAsia="Arial" w:hAnsi="Arial"/>
          <w:color w:val="15BCA4"/>
          <w:sz w:val="17"/>
        </w:rPr>
      </w:pPr>
    </w:p>
    <w:p w:rsidR="00760D48" w:rsidRDefault="001D2EC7" w:rsidP="00760D48">
      <w:pPr>
        <w:widowControl/>
        <w:numPr>
          <w:ilvl w:val="0"/>
          <w:numId w:val="6"/>
        </w:numPr>
        <w:tabs>
          <w:tab w:val="left" w:pos="3560"/>
        </w:tabs>
        <w:autoSpaceDE/>
        <w:autoSpaceDN/>
        <w:spacing w:line="0" w:lineRule="atLeast"/>
        <w:ind w:left="3560" w:hanging="374"/>
        <w:rPr>
          <w:rFonts w:ascii="Arial" w:eastAsia="Arial" w:hAnsi="Arial"/>
          <w:color w:val="222222"/>
          <w:sz w:val="17"/>
        </w:rPr>
      </w:pPr>
      <w:hyperlink r:id="rId37" w:history="1">
        <w:r w:rsidR="00760D48">
          <w:rPr>
            <w:rFonts w:ascii="Arial" w:eastAsia="Arial" w:hAnsi="Arial"/>
            <w:color w:val="222222"/>
            <w:sz w:val="17"/>
          </w:rPr>
          <w:t>Windecker S, Kolh P, Alfonso F, et al.: 2014 ESC/EACTS Guidelines on myocardial</w:t>
        </w:r>
      </w:hyperlink>
    </w:p>
    <w:p w:rsidR="00760D48" w:rsidRDefault="00760D48" w:rsidP="00760D48">
      <w:pPr>
        <w:spacing w:line="50" w:lineRule="exact"/>
        <w:rPr>
          <w:rFonts w:ascii="Arial" w:eastAsia="Arial" w:hAnsi="Arial"/>
          <w:color w:val="222222"/>
          <w:sz w:val="17"/>
        </w:rPr>
      </w:pPr>
    </w:p>
    <w:p w:rsidR="00760D48" w:rsidRDefault="001D2EC7" w:rsidP="00760D48">
      <w:pPr>
        <w:spacing w:line="329" w:lineRule="auto"/>
        <w:ind w:left="3560" w:right="180"/>
        <w:rPr>
          <w:rFonts w:ascii="Arial" w:eastAsia="Arial" w:hAnsi="Arial"/>
          <w:color w:val="222222"/>
          <w:sz w:val="17"/>
        </w:rPr>
      </w:pPr>
      <w:hyperlink r:id="rId38" w:history="1">
        <w:r w:rsidR="00760D48">
          <w:rPr>
            <w:rFonts w:ascii="Arial" w:eastAsia="Arial" w:hAnsi="Arial"/>
            <w:color w:val="222222"/>
            <w:sz w:val="17"/>
          </w:rPr>
          <w:t>revascularization: The Task Force on Myocardial Revascularization of the European Society of</w:t>
        </w:r>
      </w:hyperlink>
      <w:r w:rsidR="00760D48">
        <w:rPr>
          <w:rFonts w:ascii="Arial" w:eastAsia="Arial" w:hAnsi="Arial"/>
          <w:color w:val="222222"/>
          <w:sz w:val="17"/>
        </w:rPr>
        <w:t xml:space="preserve"> </w:t>
      </w:r>
      <w:hyperlink r:id="rId39" w:history="1">
        <w:r w:rsidR="00760D48">
          <w:rPr>
            <w:rFonts w:ascii="Arial" w:eastAsia="Arial" w:hAnsi="Arial"/>
            <w:color w:val="222222"/>
            <w:sz w:val="17"/>
          </w:rPr>
          <w:t>Cardiology (ESC) and the European Association for Cardio-Thoracic Surgery (EACTS)</w:t>
        </w:r>
      </w:hyperlink>
    </w:p>
    <w:p w:rsidR="00760D48" w:rsidRDefault="00760D48" w:rsidP="00760D48">
      <w:pPr>
        <w:spacing w:line="20" w:lineRule="exact"/>
        <w:rPr>
          <w:rFonts w:ascii="Arial" w:eastAsia="Arial" w:hAnsi="Arial"/>
          <w:color w:val="222222"/>
          <w:sz w:val="17"/>
        </w:rPr>
      </w:pPr>
      <w:r>
        <w:rPr>
          <w:rFonts w:ascii="Arial" w:eastAsia="Arial" w:hAnsi="Arial"/>
          <w:noProof/>
          <w:color w:val="222222"/>
          <w:sz w:val="17"/>
          <w:lang w:bidi="ar-SA"/>
        </w:rPr>
        <w:drawing>
          <wp:anchor distT="0" distB="0" distL="114300" distR="114300" simplePos="0" relativeHeight="251698176" behindDoc="1" locked="0" layoutInCell="1" allowOverlap="1">
            <wp:simplePos x="0" y="0"/>
            <wp:positionH relativeFrom="column">
              <wp:posOffset>3810</wp:posOffset>
            </wp:positionH>
            <wp:positionV relativeFrom="paragraph">
              <wp:posOffset>307340</wp:posOffset>
            </wp:positionV>
            <wp:extent cx="6827520" cy="952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7520" cy="952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 w:lineRule="exact"/>
        <w:rPr>
          <w:rFonts w:ascii="Arial" w:eastAsia="Arial" w:hAnsi="Arial"/>
          <w:color w:val="222222"/>
          <w:sz w:val="17"/>
        </w:rPr>
        <w:sectPr w:rsidR="00760D48">
          <w:pgSz w:w="11900" w:h="16840"/>
          <w:pgMar w:top="1146" w:right="580" w:bottom="212" w:left="560" w:header="0" w:footer="0" w:gutter="0"/>
          <w:cols w:space="0" w:equalWidth="0">
            <w:col w:w="10760"/>
          </w:cols>
          <w:docGrid w:linePitch="360"/>
        </w:sectPr>
      </w:pPr>
    </w:p>
    <w:p w:rsidR="00760D48" w:rsidRDefault="00760D48" w:rsidP="00760D48">
      <w:pPr>
        <w:spacing w:line="200" w:lineRule="exact"/>
        <w:rPr>
          <w:rFonts w:ascii="Arial" w:eastAsia="Arial" w:hAnsi="Arial"/>
          <w:color w:val="222222"/>
          <w:sz w:val="17"/>
        </w:rPr>
      </w:pPr>
    </w:p>
    <w:p w:rsidR="00760D48" w:rsidRDefault="00760D48" w:rsidP="00760D48">
      <w:pPr>
        <w:spacing w:line="361" w:lineRule="exact"/>
        <w:rPr>
          <w:rFonts w:ascii="Arial" w:eastAsia="Arial" w:hAnsi="Arial"/>
          <w:color w:val="222222"/>
          <w:sz w:val="17"/>
        </w:rPr>
      </w:pPr>
    </w:p>
    <w:p w:rsidR="00760D48" w:rsidRDefault="00760D48" w:rsidP="00760D48">
      <w:pPr>
        <w:tabs>
          <w:tab w:val="left" w:pos="10240"/>
        </w:tabs>
        <w:spacing w:line="0" w:lineRule="atLeast"/>
        <w:rPr>
          <w:rFonts w:ascii="Arial" w:eastAsia="Arial" w:hAnsi="Arial"/>
          <w:sz w:val="16"/>
        </w:rPr>
      </w:pPr>
      <w:r>
        <w:rPr>
          <w:rFonts w:ascii="Arial" w:eastAsia="Arial" w:hAnsi="Arial"/>
          <w:sz w:val="17"/>
        </w:rPr>
        <w:t>2018 Mahmood et al. Cureus 10(6): e2857. DOI 10.7759/cureus.2857</w:t>
      </w:r>
      <w:r>
        <w:rPr>
          <w:rFonts w:ascii="Times New Roman" w:eastAsia="Times New Roman" w:hAnsi="Times New Roman"/>
        </w:rPr>
        <w:tab/>
      </w:r>
      <w:r>
        <w:rPr>
          <w:rFonts w:ascii="Arial" w:eastAsia="Arial" w:hAnsi="Arial"/>
          <w:sz w:val="16"/>
        </w:rPr>
        <w:t>8 of 10</w:t>
      </w:r>
    </w:p>
    <w:p w:rsidR="00760D48" w:rsidRDefault="00760D48" w:rsidP="00760D48">
      <w:pPr>
        <w:tabs>
          <w:tab w:val="left" w:pos="10240"/>
        </w:tabs>
        <w:spacing w:line="0" w:lineRule="atLeast"/>
        <w:rPr>
          <w:rFonts w:ascii="Arial" w:eastAsia="Arial" w:hAnsi="Arial"/>
          <w:sz w:val="16"/>
        </w:rPr>
        <w:sectPr w:rsidR="00760D48">
          <w:type w:val="continuous"/>
          <w:pgSz w:w="11900" w:h="16840"/>
          <w:pgMar w:top="1146" w:right="580" w:bottom="212" w:left="560" w:header="0" w:footer="0" w:gutter="0"/>
          <w:cols w:space="0" w:equalWidth="0">
            <w:col w:w="10760"/>
          </w:cols>
          <w:docGrid w:linePitch="360"/>
        </w:sectPr>
      </w:pPr>
    </w:p>
    <w:p w:rsidR="00760D48" w:rsidRDefault="00760D48" w:rsidP="00760D48">
      <w:pPr>
        <w:spacing w:line="301" w:lineRule="auto"/>
        <w:ind w:left="3560" w:right="820"/>
        <w:rPr>
          <w:rFonts w:ascii="Arial" w:eastAsia="Arial" w:hAnsi="Arial"/>
          <w:color w:val="222222"/>
          <w:sz w:val="17"/>
        </w:rPr>
      </w:pPr>
      <w:bookmarkStart w:id="8" w:name="page9"/>
      <w:bookmarkEnd w:id="8"/>
      <w:r>
        <w:rPr>
          <w:rFonts w:ascii="Arial" w:eastAsia="Arial" w:hAnsi="Arial"/>
          <w:noProof/>
          <w:sz w:val="16"/>
          <w:lang w:bidi="ar-SA"/>
        </w:rPr>
        <w:lastRenderedPageBreak/>
        <w:drawing>
          <wp:anchor distT="0" distB="0" distL="114300" distR="114300" simplePos="0" relativeHeight="251699200" behindDoc="1" locked="0" layoutInCell="1" allowOverlap="1">
            <wp:simplePos x="0" y="0"/>
            <wp:positionH relativeFrom="page">
              <wp:posOffset>437515</wp:posOffset>
            </wp:positionH>
            <wp:positionV relativeFrom="page">
              <wp:posOffset>354965</wp:posOffset>
            </wp:positionV>
            <wp:extent cx="653415" cy="1460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46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22222"/>
          <w:sz w:val="17"/>
        </w:rPr>
        <w:t>developed with the special contribution of the European Association of Percutaneous Cardiovascular Interventions (EAPCI). Eur Heart J. 2014, 35:2541-619.</w:t>
      </w:r>
    </w:p>
    <w:p w:rsidR="00760D48" w:rsidRDefault="00760D48" w:rsidP="00760D48">
      <w:pPr>
        <w:spacing w:line="1" w:lineRule="exact"/>
        <w:rPr>
          <w:rFonts w:ascii="Times New Roman" w:eastAsia="Times New Roman" w:hAnsi="Times New Roman"/>
        </w:rPr>
      </w:pPr>
    </w:p>
    <w:p w:rsidR="00760D48" w:rsidRDefault="001D2EC7" w:rsidP="00760D48">
      <w:pPr>
        <w:spacing w:line="0" w:lineRule="atLeast"/>
        <w:ind w:left="3560"/>
        <w:rPr>
          <w:rFonts w:ascii="Arial" w:eastAsia="Arial" w:hAnsi="Arial"/>
          <w:color w:val="15BCA4"/>
          <w:sz w:val="17"/>
        </w:rPr>
      </w:pPr>
      <w:hyperlink r:id="rId40" w:history="1">
        <w:r w:rsidR="00760D48">
          <w:rPr>
            <w:rFonts w:ascii="Arial" w:eastAsia="Arial" w:hAnsi="Arial"/>
            <w:color w:val="15BCA4"/>
            <w:sz w:val="17"/>
          </w:rPr>
          <w:t>10.1093/eurheartj/ehu278</w:t>
        </w:r>
      </w:hyperlink>
    </w:p>
    <w:p w:rsidR="00760D48" w:rsidRDefault="00760D48" w:rsidP="00760D48">
      <w:pPr>
        <w:spacing w:line="50" w:lineRule="exact"/>
        <w:rPr>
          <w:rFonts w:ascii="Times New Roman" w:eastAsia="Times New Roman" w:hAnsi="Times New Roman"/>
        </w:rPr>
      </w:pPr>
    </w:p>
    <w:p w:rsidR="00760D48" w:rsidRDefault="001D2EC7" w:rsidP="00760D48">
      <w:pPr>
        <w:widowControl/>
        <w:numPr>
          <w:ilvl w:val="0"/>
          <w:numId w:val="7"/>
        </w:numPr>
        <w:tabs>
          <w:tab w:val="left" w:pos="3560"/>
        </w:tabs>
        <w:autoSpaceDE/>
        <w:autoSpaceDN/>
        <w:spacing w:line="301" w:lineRule="auto"/>
        <w:ind w:left="3560" w:right="380" w:hanging="374"/>
        <w:rPr>
          <w:rFonts w:ascii="Arial" w:eastAsia="Arial" w:hAnsi="Arial"/>
          <w:color w:val="222222"/>
          <w:sz w:val="17"/>
        </w:rPr>
      </w:pPr>
      <w:hyperlink r:id="rId41" w:history="1">
        <w:r w:rsidR="00760D48">
          <w:rPr>
            <w:rFonts w:ascii="Arial" w:eastAsia="Arial" w:hAnsi="Arial"/>
            <w:color w:val="222222"/>
            <w:sz w:val="17"/>
          </w:rPr>
          <w:t>Stone GW, Sabik JF, Serruys PW, et al.: Everolimus-eluting stents or bypass surgery for left</w:t>
        </w:r>
      </w:hyperlink>
      <w:r w:rsidR="00760D48">
        <w:rPr>
          <w:rFonts w:ascii="Arial" w:eastAsia="Arial" w:hAnsi="Arial"/>
          <w:color w:val="222222"/>
          <w:sz w:val="17"/>
        </w:rPr>
        <w:t xml:space="preserve"> </w:t>
      </w:r>
      <w:hyperlink r:id="rId42" w:history="1">
        <w:r w:rsidR="00760D48">
          <w:rPr>
            <w:rFonts w:ascii="Arial" w:eastAsia="Arial" w:hAnsi="Arial"/>
            <w:color w:val="222222"/>
            <w:sz w:val="17"/>
          </w:rPr>
          <w:t xml:space="preserve">main coronary artery disease. NEJM. 2016, 375:2223-35. </w:t>
        </w:r>
        <w:r w:rsidR="00760D48">
          <w:rPr>
            <w:rFonts w:ascii="Arial" w:eastAsia="Arial" w:hAnsi="Arial"/>
            <w:color w:val="15BCA4"/>
            <w:sz w:val="17"/>
          </w:rPr>
          <w:t>10.1056/NEJMoa1610227</w:t>
        </w:r>
      </w:hyperlink>
    </w:p>
    <w:p w:rsidR="00760D48" w:rsidRDefault="00760D48" w:rsidP="00760D48">
      <w:pPr>
        <w:spacing w:line="1" w:lineRule="exact"/>
        <w:rPr>
          <w:rFonts w:ascii="Arial" w:eastAsia="Arial" w:hAnsi="Arial"/>
          <w:color w:val="222222"/>
          <w:sz w:val="17"/>
        </w:rPr>
      </w:pPr>
    </w:p>
    <w:p w:rsidR="00760D48" w:rsidRDefault="001D2EC7" w:rsidP="00760D48">
      <w:pPr>
        <w:widowControl/>
        <w:numPr>
          <w:ilvl w:val="0"/>
          <w:numId w:val="7"/>
        </w:numPr>
        <w:tabs>
          <w:tab w:val="left" w:pos="3560"/>
        </w:tabs>
        <w:autoSpaceDE/>
        <w:autoSpaceDN/>
        <w:spacing w:line="301" w:lineRule="auto"/>
        <w:ind w:left="3560" w:right="100" w:hanging="374"/>
        <w:jc w:val="both"/>
        <w:rPr>
          <w:rFonts w:ascii="Arial" w:eastAsia="Arial" w:hAnsi="Arial"/>
          <w:color w:val="222222"/>
          <w:sz w:val="17"/>
        </w:rPr>
      </w:pPr>
      <w:hyperlink r:id="rId43" w:history="1">
        <w:r w:rsidR="00760D48">
          <w:rPr>
            <w:rFonts w:ascii="Arial" w:eastAsia="Arial" w:hAnsi="Arial"/>
            <w:color w:val="222222"/>
            <w:sz w:val="17"/>
          </w:rPr>
          <w:t>Cavalcante R, Sotomi Y, Lee CW, et al.: Outcomes after percutaneous coronary intervention or</w:t>
        </w:r>
      </w:hyperlink>
      <w:r w:rsidR="00760D48">
        <w:rPr>
          <w:rFonts w:ascii="Arial" w:eastAsia="Arial" w:hAnsi="Arial"/>
          <w:color w:val="222222"/>
          <w:sz w:val="17"/>
        </w:rPr>
        <w:t xml:space="preserve"> </w:t>
      </w:r>
      <w:hyperlink r:id="rId44" w:history="1">
        <w:r w:rsidR="00760D48">
          <w:rPr>
            <w:rFonts w:ascii="Arial" w:eastAsia="Arial" w:hAnsi="Arial"/>
            <w:color w:val="222222"/>
            <w:sz w:val="17"/>
          </w:rPr>
          <w:t>bypass surgery in patients with unprotected left main disease. J Am Coll Cardiol. 2016, 68:999-</w:t>
        </w:r>
      </w:hyperlink>
      <w:r w:rsidR="00760D48">
        <w:rPr>
          <w:rFonts w:ascii="Arial" w:eastAsia="Arial" w:hAnsi="Arial"/>
          <w:color w:val="222222"/>
          <w:sz w:val="17"/>
        </w:rPr>
        <w:t xml:space="preserve">1009. </w:t>
      </w:r>
      <w:hyperlink r:id="rId45" w:history="1">
        <w:r w:rsidR="00760D48">
          <w:rPr>
            <w:rFonts w:ascii="Arial" w:eastAsia="Arial" w:hAnsi="Arial"/>
            <w:color w:val="15BCA4"/>
            <w:sz w:val="17"/>
          </w:rPr>
          <w:t>10.1016/j.jacc.2016.06.024</w:t>
        </w:r>
      </w:hyperlink>
    </w:p>
    <w:p w:rsidR="00760D48" w:rsidRDefault="00760D48" w:rsidP="00760D48">
      <w:pPr>
        <w:spacing w:line="1" w:lineRule="exact"/>
        <w:rPr>
          <w:rFonts w:ascii="Arial" w:eastAsia="Arial" w:hAnsi="Arial"/>
          <w:color w:val="222222"/>
          <w:sz w:val="17"/>
        </w:rPr>
      </w:pPr>
    </w:p>
    <w:p w:rsidR="00760D48" w:rsidRDefault="001D2EC7" w:rsidP="00760D48">
      <w:pPr>
        <w:widowControl/>
        <w:numPr>
          <w:ilvl w:val="0"/>
          <w:numId w:val="7"/>
        </w:numPr>
        <w:tabs>
          <w:tab w:val="left" w:pos="3560"/>
        </w:tabs>
        <w:autoSpaceDE/>
        <w:autoSpaceDN/>
        <w:spacing w:line="301" w:lineRule="auto"/>
        <w:ind w:left="3560" w:right="300" w:hanging="374"/>
        <w:rPr>
          <w:rFonts w:ascii="Arial" w:eastAsia="Arial" w:hAnsi="Arial"/>
          <w:color w:val="222222"/>
          <w:sz w:val="17"/>
        </w:rPr>
      </w:pPr>
      <w:hyperlink r:id="rId46" w:history="1">
        <w:r w:rsidR="00760D48">
          <w:rPr>
            <w:rFonts w:ascii="Arial" w:eastAsia="Arial" w:hAnsi="Arial"/>
            <w:color w:val="222222"/>
            <w:sz w:val="17"/>
          </w:rPr>
          <w:t>Morice MC, Serruys PW, Kappetein AP, et al.: Five-year outcomes in patients with left main</w:t>
        </w:r>
      </w:hyperlink>
      <w:r w:rsidR="00760D48">
        <w:rPr>
          <w:rFonts w:ascii="Arial" w:eastAsia="Arial" w:hAnsi="Arial"/>
          <w:color w:val="222222"/>
          <w:sz w:val="17"/>
        </w:rPr>
        <w:t xml:space="preserve"> </w:t>
      </w:r>
      <w:hyperlink r:id="rId47" w:history="1">
        <w:r w:rsidR="00760D48">
          <w:rPr>
            <w:rFonts w:ascii="Arial" w:eastAsia="Arial" w:hAnsi="Arial"/>
            <w:color w:val="222222"/>
            <w:sz w:val="17"/>
          </w:rPr>
          <w:t>disease treated with either percutaneous coronary intervention or coronary artery bypass</w:t>
        </w:r>
      </w:hyperlink>
      <w:r w:rsidR="00760D48">
        <w:rPr>
          <w:rFonts w:ascii="Arial" w:eastAsia="Arial" w:hAnsi="Arial"/>
          <w:color w:val="222222"/>
          <w:sz w:val="17"/>
        </w:rPr>
        <w:t xml:space="preserve"> </w:t>
      </w:r>
      <w:hyperlink r:id="rId48" w:history="1">
        <w:r w:rsidR="00760D48">
          <w:rPr>
            <w:rFonts w:ascii="Arial" w:eastAsia="Arial" w:hAnsi="Arial"/>
            <w:color w:val="222222"/>
            <w:sz w:val="17"/>
          </w:rPr>
          <w:t>grafting in the synergy between percutaneous coronary intervention with taxus and cardiac</w:t>
        </w:r>
      </w:hyperlink>
      <w:r w:rsidR="00760D48">
        <w:rPr>
          <w:rFonts w:ascii="Arial" w:eastAsia="Arial" w:hAnsi="Arial"/>
          <w:color w:val="222222"/>
          <w:sz w:val="17"/>
        </w:rPr>
        <w:t xml:space="preserve"> </w:t>
      </w:r>
      <w:hyperlink r:id="rId49" w:history="1">
        <w:r w:rsidR="00760D48">
          <w:rPr>
            <w:rFonts w:ascii="Arial" w:eastAsia="Arial" w:hAnsi="Arial"/>
            <w:color w:val="222222"/>
            <w:sz w:val="17"/>
          </w:rPr>
          <w:t xml:space="preserve">surgery trial. Circulation. 2014, 129:2388-94. </w:t>
        </w:r>
        <w:r w:rsidR="00760D48">
          <w:rPr>
            <w:rFonts w:ascii="Arial" w:eastAsia="Arial" w:hAnsi="Arial"/>
            <w:color w:val="15BCA4"/>
            <w:sz w:val="17"/>
          </w:rPr>
          <w:t>10.1161/CIRCULATIONAHA.113.006689</w:t>
        </w:r>
      </w:hyperlink>
    </w:p>
    <w:p w:rsidR="00760D48" w:rsidRDefault="00760D48" w:rsidP="00760D48">
      <w:pPr>
        <w:spacing w:line="2" w:lineRule="exact"/>
        <w:rPr>
          <w:rFonts w:ascii="Arial" w:eastAsia="Arial" w:hAnsi="Arial"/>
          <w:color w:val="222222"/>
          <w:sz w:val="17"/>
        </w:rPr>
      </w:pPr>
    </w:p>
    <w:p w:rsidR="00760D48" w:rsidRDefault="001D2EC7" w:rsidP="00760D48">
      <w:pPr>
        <w:widowControl/>
        <w:numPr>
          <w:ilvl w:val="0"/>
          <w:numId w:val="7"/>
        </w:numPr>
        <w:tabs>
          <w:tab w:val="left" w:pos="3560"/>
        </w:tabs>
        <w:autoSpaceDE/>
        <w:autoSpaceDN/>
        <w:spacing w:line="0" w:lineRule="atLeast"/>
        <w:ind w:left="3560" w:hanging="466"/>
        <w:rPr>
          <w:rFonts w:ascii="Arial" w:eastAsia="Arial" w:hAnsi="Arial"/>
          <w:color w:val="222222"/>
          <w:sz w:val="17"/>
        </w:rPr>
      </w:pPr>
      <w:hyperlink r:id="rId50" w:history="1">
        <w:r w:rsidR="00760D48">
          <w:rPr>
            <w:rFonts w:ascii="Arial" w:eastAsia="Arial" w:hAnsi="Arial"/>
            <w:color w:val="222222"/>
            <w:sz w:val="17"/>
          </w:rPr>
          <w:t>Capodanno D, Stone GW, Morice MC, et al.: Percutaneous coronary intervention versus</w:t>
        </w:r>
      </w:hyperlink>
    </w:p>
    <w:p w:rsidR="00760D48" w:rsidRDefault="00760D48" w:rsidP="00760D48">
      <w:pPr>
        <w:spacing w:line="50" w:lineRule="exact"/>
        <w:rPr>
          <w:rFonts w:ascii="Arial" w:eastAsia="Arial" w:hAnsi="Arial"/>
          <w:color w:val="222222"/>
          <w:sz w:val="17"/>
        </w:rPr>
      </w:pPr>
    </w:p>
    <w:p w:rsidR="00760D48" w:rsidRDefault="001D2EC7" w:rsidP="00760D48">
      <w:pPr>
        <w:spacing w:line="320" w:lineRule="auto"/>
        <w:ind w:left="3560" w:right="340"/>
        <w:rPr>
          <w:rFonts w:ascii="Arial" w:eastAsia="Arial" w:hAnsi="Arial"/>
          <w:color w:val="15BCA4"/>
          <w:sz w:val="16"/>
        </w:rPr>
      </w:pPr>
      <w:hyperlink r:id="rId51" w:history="1">
        <w:r w:rsidR="00760D48">
          <w:rPr>
            <w:rFonts w:ascii="Arial" w:eastAsia="Arial" w:hAnsi="Arial"/>
            <w:color w:val="222222"/>
            <w:sz w:val="16"/>
          </w:rPr>
          <w:t>coronary artery bypass graft surgery in left main coronary artery disease: a meta-analysis of</w:t>
        </w:r>
      </w:hyperlink>
      <w:r w:rsidR="00760D48">
        <w:rPr>
          <w:rFonts w:ascii="Arial" w:eastAsia="Arial" w:hAnsi="Arial"/>
          <w:color w:val="222222"/>
          <w:sz w:val="16"/>
        </w:rPr>
        <w:t xml:space="preserve"> </w:t>
      </w:r>
      <w:hyperlink r:id="rId52" w:history="1">
        <w:r w:rsidR="00760D48">
          <w:rPr>
            <w:rFonts w:ascii="Arial" w:eastAsia="Arial" w:hAnsi="Arial"/>
            <w:color w:val="222222"/>
            <w:sz w:val="16"/>
          </w:rPr>
          <w:t xml:space="preserve">randomized clinical data. J Am Coll Cardiol. 2011, 58:1426-32. </w:t>
        </w:r>
        <w:r w:rsidR="00760D48">
          <w:rPr>
            <w:rFonts w:ascii="Arial" w:eastAsia="Arial" w:hAnsi="Arial"/>
            <w:color w:val="15BCA4"/>
            <w:sz w:val="16"/>
          </w:rPr>
          <w:t>10.1016/j.jacc.2011.07.005</w:t>
        </w:r>
      </w:hyperlink>
    </w:p>
    <w:p w:rsidR="00760D48" w:rsidRDefault="001D2EC7" w:rsidP="00760D48">
      <w:pPr>
        <w:widowControl/>
        <w:numPr>
          <w:ilvl w:val="0"/>
          <w:numId w:val="7"/>
        </w:numPr>
        <w:tabs>
          <w:tab w:val="left" w:pos="3560"/>
        </w:tabs>
        <w:autoSpaceDE/>
        <w:autoSpaceDN/>
        <w:spacing w:line="320" w:lineRule="auto"/>
        <w:ind w:left="3560" w:right="140" w:hanging="466"/>
        <w:jc w:val="both"/>
        <w:rPr>
          <w:rFonts w:ascii="Arial" w:eastAsia="Arial" w:hAnsi="Arial"/>
          <w:color w:val="222222"/>
          <w:sz w:val="16"/>
        </w:rPr>
      </w:pPr>
      <w:hyperlink r:id="rId53" w:history="1">
        <w:r w:rsidR="00760D48">
          <w:rPr>
            <w:rFonts w:ascii="Arial" w:eastAsia="Arial" w:hAnsi="Arial"/>
            <w:color w:val="222222"/>
            <w:sz w:val="16"/>
          </w:rPr>
          <w:t>Kappetein AP, Serruys PW, Sabik JF, et al.: Design and rationale for a randomized comparison</w:t>
        </w:r>
      </w:hyperlink>
      <w:r w:rsidR="00760D48">
        <w:rPr>
          <w:rFonts w:ascii="Arial" w:eastAsia="Arial" w:hAnsi="Arial"/>
          <w:color w:val="222222"/>
          <w:sz w:val="16"/>
        </w:rPr>
        <w:t xml:space="preserve"> </w:t>
      </w:r>
      <w:hyperlink r:id="rId54" w:history="1">
        <w:r w:rsidR="00760D48">
          <w:rPr>
            <w:rFonts w:ascii="Arial" w:eastAsia="Arial" w:hAnsi="Arial"/>
            <w:color w:val="222222"/>
            <w:sz w:val="16"/>
          </w:rPr>
          <w:t>of everolimus-eluting stents and coronary artery bypass graft surgery in selected patients with</w:t>
        </w:r>
      </w:hyperlink>
      <w:r w:rsidR="00760D48">
        <w:rPr>
          <w:rFonts w:ascii="Arial" w:eastAsia="Arial" w:hAnsi="Arial"/>
          <w:color w:val="222222"/>
          <w:sz w:val="16"/>
        </w:rPr>
        <w:t xml:space="preserve"> </w:t>
      </w:r>
      <w:hyperlink r:id="rId55" w:history="1">
        <w:r w:rsidR="00760D48">
          <w:rPr>
            <w:rFonts w:ascii="Arial" w:eastAsia="Arial" w:hAnsi="Arial"/>
            <w:color w:val="222222"/>
            <w:sz w:val="16"/>
          </w:rPr>
          <w:t>left main coronary artery disease: the EXCEL trial. EuroIntervention. 2016, 12:861-72.</w:t>
        </w:r>
      </w:hyperlink>
    </w:p>
    <w:p w:rsidR="00760D48" w:rsidRDefault="00760D48" w:rsidP="00760D48">
      <w:pPr>
        <w:spacing w:line="1" w:lineRule="exact"/>
        <w:rPr>
          <w:rFonts w:ascii="Arial" w:eastAsia="Arial" w:hAnsi="Arial"/>
          <w:color w:val="222222"/>
          <w:sz w:val="16"/>
        </w:rPr>
      </w:pPr>
    </w:p>
    <w:p w:rsidR="00760D48" w:rsidRDefault="001D2EC7" w:rsidP="00760D48">
      <w:pPr>
        <w:spacing w:line="0" w:lineRule="atLeast"/>
        <w:ind w:left="3560"/>
        <w:rPr>
          <w:rFonts w:ascii="Arial" w:eastAsia="Arial" w:hAnsi="Arial"/>
          <w:color w:val="15BCA4"/>
          <w:sz w:val="17"/>
        </w:rPr>
      </w:pPr>
      <w:hyperlink r:id="rId56" w:history="1">
        <w:r w:rsidR="00760D48">
          <w:rPr>
            <w:rFonts w:ascii="Arial" w:eastAsia="Arial" w:hAnsi="Arial"/>
            <w:color w:val="15BCA4"/>
            <w:sz w:val="17"/>
          </w:rPr>
          <w:t>10.4244/EIJV12I7A141</w:t>
        </w:r>
      </w:hyperlink>
    </w:p>
    <w:p w:rsidR="00760D48" w:rsidRDefault="00760D48" w:rsidP="00760D48">
      <w:pPr>
        <w:spacing w:line="50" w:lineRule="exact"/>
        <w:rPr>
          <w:rFonts w:ascii="Arial" w:eastAsia="Arial" w:hAnsi="Arial"/>
          <w:color w:val="15BCA4"/>
          <w:sz w:val="17"/>
        </w:rPr>
      </w:pPr>
    </w:p>
    <w:p w:rsidR="00760D48" w:rsidRDefault="001D2EC7" w:rsidP="00760D48">
      <w:pPr>
        <w:widowControl/>
        <w:numPr>
          <w:ilvl w:val="0"/>
          <w:numId w:val="7"/>
        </w:numPr>
        <w:tabs>
          <w:tab w:val="left" w:pos="3560"/>
        </w:tabs>
        <w:autoSpaceDE/>
        <w:autoSpaceDN/>
        <w:spacing w:line="301" w:lineRule="auto"/>
        <w:ind w:left="3560" w:right="740" w:hanging="466"/>
        <w:rPr>
          <w:rFonts w:ascii="Arial" w:eastAsia="Arial" w:hAnsi="Arial"/>
          <w:color w:val="222222"/>
          <w:sz w:val="17"/>
        </w:rPr>
      </w:pPr>
      <w:hyperlink r:id="rId57" w:history="1">
        <w:r w:rsidR="00760D48">
          <w:rPr>
            <w:rFonts w:ascii="Arial" w:eastAsia="Arial" w:hAnsi="Arial"/>
            <w:color w:val="222222"/>
            <w:sz w:val="17"/>
          </w:rPr>
          <w:t>Rampat R, Hildick-Smith D: Main stem percutaneous coronary intervention - data and</w:t>
        </w:r>
      </w:hyperlink>
      <w:r w:rsidR="00760D48">
        <w:rPr>
          <w:rFonts w:ascii="Arial" w:eastAsia="Arial" w:hAnsi="Arial"/>
          <w:color w:val="222222"/>
          <w:sz w:val="17"/>
        </w:rPr>
        <w:t xml:space="preserve"> </w:t>
      </w:r>
      <w:hyperlink r:id="rId58" w:history="1">
        <w:r w:rsidR="00760D48">
          <w:rPr>
            <w:rFonts w:ascii="Arial" w:eastAsia="Arial" w:hAnsi="Arial"/>
            <w:color w:val="222222"/>
            <w:sz w:val="17"/>
          </w:rPr>
          <w:t>ongoing trials. Interventional Cardiology Review. 2015, 10:132-35.</w:t>
        </w:r>
      </w:hyperlink>
    </w:p>
    <w:p w:rsidR="00760D48" w:rsidRDefault="00760D48" w:rsidP="00760D48">
      <w:pPr>
        <w:spacing w:line="1" w:lineRule="exact"/>
        <w:rPr>
          <w:rFonts w:ascii="Arial" w:eastAsia="Arial" w:hAnsi="Arial"/>
          <w:color w:val="222222"/>
          <w:sz w:val="17"/>
        </w:rPr>
      </w:pPr>
    </w:p>
    <w:p w:rsidR="00760D48" w:rsidRDefault="001D2EC7" w:rsidP="00760D48">
      <w:pPr>
        <w:spacing w:line="0" w:lineRule="atLeast"/>
        <w:ind w:left="3560"/>
        <w:rPr>
          <w:rFonts w:ascii="Arial" w:eastAsia="Arial" w:hAnsi="Arial"/>
          <w:color w:val="15BCA4"/>
          <w:sz w:val="17"/>
        </w:rPr>
      </w:pPr>
      <w:hyperlink r:id="rId59" w:history="1">
        <w:r w:rsidR="00760D48">
          <w:rPr>
            <w:rFonts w:ascii="Arial" w:eastAsia="Arial" w:hAnsi="Arial"/>
            <w:color w:val="15BCA4"/>
            <w:sz w:val="17"/>
          </w:rPr>
          <w:t>10.15420/icr.2015.10.03.132</w:t>
        </w:r>
      </w:hyperlink>
    </w:p>
    <w:p w:rsidR="00760D48" w:rsidRDefault="00760D48" w:rsidP="00760D48">
      <w:pPr>
        <w:spacing w:line="50" w:lineRule="exact"/>
        <w:rPr>
          <w:rFonts w:ascii="Arial" w:eastAsia="Arial" w:hAnsi="Arial"/>
          <w:color w:val="15BCA4"/>
          <w:sz w:val="17"/>
        </w:rPr>
      </w:pPr>
    </w:p>
    <w:p w:rsidR="00760D48" w:rsidRDefault="00760D48" w:rsidP="00760D48">
      <w:pPr>
        <w:widowControl/>
        <w:numPr>
          <w:ilvl w:val="0"/>
          <w:numId w:val="7"/>
        </w:numPr>
        <w:tabs>
          <w:tab w:val="left" w:pos="3560"/>
        </w:tabs>
        <w:autoSpaceDE/>
        <w:autoSpaceDN/>
        <w:spacing w:line="301" w:lineRule="auto"/>
        <w:ind w:left="3560" w:right="860" w:hanging="466"/>
        <w:rPr>
          <w:rFonts w:ascii="Arial" w:eastAsia="Arial" w:hAnsi="Arial"/>
          <w:color w:val="222222"/>
          <w:sz w:val="17"/>
        </w:rPr>
      </w:pPr>
      <w:r>
        <w:rPr>
          <w:rFonts w:ascii="Arial" w:eastAsia="Arial" w:hAnsi="Arial"/>
          <w:color w:val="222222"/>
          <w:sz w:val="17"/>
        </w:rPr>
        <w:t xml:space="preserve">DeMots H, Rösch J, McAnulty JH, Rahimtoola SH: </w:t>
      </w:r>
      <w:hyperlink r:id="rId60" w:history="1">
        <w:r>
          <w:rPr>
            <w:rFonts w:ascii="Arial" w:eastAsia="Arial" w:hAnsi="Arial"/>
            <w:color w:val="222222"/>
            <w:sz w:val="17"/>
          </w:rPr>
          <w:t>Left main coronary artery disease</w:t>
        </w:r>
      </w:hyperlink>
      <w:r>
        <w:rPr>
          <w:rFonts w:ascii="Arial" w:eastAsia="Arial" w:hAnsi="Arial"/>
          <w:color w:val="222222"/>
          <w:sz w:val="17"/>
        </w:rPr>
        <w:t>. Cardiovasc Clin. 1977, 8:201-11.</w:t>
      </w:r>
    </w:p>
    <w:p w:rsidR="00760D48" w:rsidRDefault="00760D48" w:rsidP="00760D48">
      <w:pPr>
        <w:spacing w:line="1" w:lineRule="exact"/>
        <w:rPr>
          <w:rFonts w:ascii="Arial" w:eastAsia="Arial" w:hAnsi="Arial"/>
          <w:color w:val="222222"/>
          <w:sz w:val="17"/>
        </w:rPr>
      </w:pPr>
    </w:p>
    <w:p w:rsidR="00760D48" w:rsidRDefault="001D2EC7" w:rsidP="00760D48">
      <w:pPr>
        <w:widowControl/>
        <w:numPr>
          <w:ilvl w:val="0"/>
          <w:numId w:val="7"/>
        </w:numPr>
        <w:tabs>
          <w:tab w:val="left" w:pos="3560"/>
        </w:tabs>
        <w:autoSpaceDE/>
        <w:autoSpaceDN/>
        <w:spacing w:line="320" w:lineRule="auto"/>
        <w:ind w:left="3560" w:right="140" w:hanging="466"/>
        <w:rPr>
          <w:rFonts w:ascii="Arial" w:eastAsia="Arial" w:hAnsi="Arial"/>
          <w:color w:val="222222"/>
          <w:sz w:val="16"/>
        </w:rPr>
      </w:pPr>
      <w:hyperlink r:id="rId61" w:history="1">
        <w:r w:rsidR="00760D48">
          <w:rPr>
            <w:rFonts w:ascii="Arial" w:eastAsia="Arial" w:hAnsi="Arial"/>
            <w:color w:val="222222"/>
            <w:sz w:val="16"/>
          </w:rPr>
          <w:t>Yusuf S, Zucker D, Peduzzi P, et al.: Effect of coronary artery bypass graft surgery on survival:</w:t>
        </w:r>
      </w:hyperlink>
      <w:r w:rsidR="00760D48">
        <w:rPr>
          <w:rFonts w:ascii="Arial" w:eastAsia="Arial" w:hAnsi="Arial"/>
          <w:color w:val="222222"/>
          <w:sz w:val="16"/>
        </w:rPr>
        <w:t xml:space="preserve"> </w:t>
      </w:r>
      <w:hyperlink r:id="rId62" w:history="1">
        <w:r w:rsidR="00760D48">
          <w:rPr>
            <w:rFonts w:ascii="Arial" w:eastAsia="Arial" w:hAnsi="Arial"/>
            <w:color w:val="222222"/>
            <w:sz w:val="16"/>
          </w:rPr>
          <w:t>overview of 10-year results from randomised trials by the Coronary Artery Bypass Graft</w:t>
        </w:r>
      </w:hyperlink>
      <w:r w:rsidR="00760D48">
        <w:rPr>
          <w:rFonts w:ascii="Arial" w:eastAsia="Arial" w:hAnsi="Arial"/>
          <w:color w:val="222222"/>
          <w:sz w:val="16"/>
        </w:rPr>
        <w:t xml:space="preserve"> </w:t>
      </w:r>
      <w:hyperlink r:id="rId63" w:history="1">
        <w:r w:rsidR="00760D48">
          <w:rPr>
            <w:rFonts w:ascii="Arial" w:eastAsia="Arial" w:hAnsi="Arial"/>
            <w:color w:val="222222"/>
            <w:sz w:val="16"/>
          </w:rPr>
          <w:t xml:space="preserve">Surgery Trialists Collaboration. Lancet. 1994, 344:563-70. </w:t>
        </w:r>
        <w:r w:rsidR="00760D48">
          <w:rPr>
            <w:rFonts w:ascii="Arial" w:eastAsia="Arial" w:hAnsi="Arial"/>
            <w:color w:val="15BCA4"/>
            <w:sz w:val="16"/>
          </w:rPr>
          <w:t>10.1016/S0140-6736(94)91963-1</w:t>
        </w:r>
      </w:hyperlink>
    </w:p>
    <w:p w:rsidR="00760D48" w:rsidRDefault="00760D48" w:rsidP="00760D48">
      <w:pPr>
        <w:spacing w:line="1" w:lineRule="exact"/>
        <w:rPr>
          <w:rFonts w:ascii="Arial" w:eastAsia="Arial" w:hAnsi="Arial"/>
          <w:color w:val="222222"/>
          <w:sz w:val="16"/>
        </w:rPr>
      </w:pPr>
    </w:p>
    <w:p w:rsidR="00760D48" w:rsidRDefault="001D2EC7" w:rsidP="00760D48">
      <w:pPr>
        <w:widowControl/>
        <w:numPr>
          <w:ilvl w:val="0"/>
          <w:numId w:val="7"/>
        </w:numPr>
        <w:tabs>
          <w:tab w:val="left" w:pos="3560"/>
        </w:tabs>
        <w:autoSpaceDE/>
        <w:autoSpaceDN/>
        <w:spacing w:line="301" w:lineRule="auto"/>
        <w:ind w:left="3560" w:right="420" w:hanging="466"/>
        <w:jc w:val="both"/>
        <w:rPr>
          <w:rFonts w:ascii="Arial" w:eastAsia="Arial" w:hAnsi="Arial"/>
          <w:color w:val="222222"/>
          <w:sz w:val="17"/>
        </w:rPr>
      </w:pPr>
      <w:hyperlink r:id="rId64" w:history="1">
        <w:r w:rsidR="00760D48">
          <w:rPr>
            <w:rFonts w:ascii="Arial" w:eastAsia="Arial" w:hAnsi="Arial"/>
            <w:color w:val="222222"/>
            <w:sz w:val="17"/>
          </w:rPr>
          <w:t>Silvestri M, Barragan P, Sainsous J, et al.: Unprotected left main coronary artery stenting:</w:t>
        </w:r>
      </w:hyperlink>
      <w:r w:rsidR="00760D48">
        <w:rPr>
          <w:rFonts w:ascii="Arial" w:eastAsia="Arial" w:hAnsi="Arial"/>
          <w:color w:val="222222"/>
          <w:sz w:val="17"/>
        </w:rPr>
        <w:t xml:space="preserve"> </w:t>
      </w:r>
      <w:hyperlink r:id="rId65" w:history="1">
        <w:r w:rsidR="00760D48">
          <w:rPr>
            <w:rFonts w:ascii="Arial" w:eastAsia="Arial" w:hAnsi="Arial"/>
            <w:color w:val="222222"/>
            <w:sz w:val="17"/>
          </w:rPr>
          <w:t>immediate and mediumterm outcomes of 140 elective procedures. J Am Coll Cardiol. 2000,</w:t>
        </w:r>
      </w:hyperlink>
      <w:r w:rsidR="00760D48">
        <w:rPr>
          <w:rFonts w:ascii="Arial" w:eastAsia="Arial" w:hAnsi="Arial"/>
          <w:color w:val="222222"/>
          <w:sz w:val="17"/>
        </w:rPr>
        <w:t xml:space="preserve"> 35:1543-50. </w:t>
      </w:r>
      <w:hyperlink r:id="rId66" w:history="1">
        <w:r w:rsidR="00760D48">
          <w:rPr>
            <w:rFonts w:ascii="Arial" w:eastAsia="Arial" w:hAnsi="Arial"/>
            <w:color w:val="15BCA4"/>
            <w:sz w:val="17"/>
          </w:rPr>
          <w:t>10.1016/S0735-1097(00)00588-X</w:t>
        </w:r>
      </w:hyperlink>
    </w:p>
    <w:p w:rsidR="00760D48" w:rsidRDefault="00760D48" w:rsidP="00760D48">
      <w:pPr>
        <w:spacing w:line="1" w:lineRule="exact"/>
        <w:rPr>
          <w:rFonts w:ascii="Arial" w:eastAsia="Arial" w:hAnsi="Arial"/>
          <w:color w:val="222222"/>
          <w:sz w:val="17"/>
        </w:rPr>
      </w:pPr>
    </w:p>
    <w:p w:rsidR="00760D48" w:rsidRDefault="001D2EC7" w:rsidP="00760D48">
      <w:pPr>
        <w:widowControl/>
        <w:numPr>
          <w:ilvl w:val="0"/>
          <w:numId w:val="7"/>
        </w:numPr>
        <w:tabs>
          <w:tab w:val="left" w:pos="3560"/>
        </w:tabs>
        <w:autoSpaceDE/>
        <w:autoSpaceDN/>
        <w:spacing w:line="301" w:lineRule="auto"/>
        <w:ind w:left="3560" w:right="400" w:hanging="466"/>
        <w:rPr>
          <w:rFonts w:ascii="Arial" w:eastAsia="Arial" w:hAnsi="Arial"/>
          <w:color w:val="222222"/>
          <w:sz w:val="17"/>
        </w:rPr>
      </w:pPr>
      <w:hyperlink r:id="rId67" w:history="1">
        <w:r w:rsidR="00760D48">
          <w:rPr>
            <w:rFonts w:ascii="Arial" w:eastAsia="Arial" w:hAnsi="Arial"/>
            <w:color w:val="222222"/>
            <w:sz w:val="17"/>
          </w:rPr>
          <w:t>Tan WA, Tamai H, Park SJ, et al.: Long-term clinical outcomes after unprotected left main</w:t>
        </w:r>
      </w:hyperlink>
      <w:r w:rsidR="00760D48">
        <w:rPr>
          <w:rFonts w:ascii="Arial" w:eastAsia="Arial" w:hAnsi="Arial"/>
          <w:color w:val="222222"/>
          <w:sz w:val="17"/>
        </w:rPr>
        <w:t xml:space="preserve"> </w:t>
      </w:r>
      <w:hyperlink r:id="rId68" w:history="1">
        <w:r w:rsidR="00760D48">
          <w:rPr>
            <w:rFonts w:ascii="Arial" w:eastAsia="Arial" w:hAnsi="Arial"/>
            <w:color w:val="222222"/>
            <w:sz w:val="17"/>
          </w:rPr>
          <w:t>trunk percutaneous revascularization in 279 patients. Circulation. 2001, 104:1609-14.</w:t>
        </w:r>
      </w:hyperlink>
    </w:p>
    <w:p w:rsidR="00760D48" w:rsidRDefault="00760D48" w:rsidP="00760D48">
      <w:pPr>
        <w:spacing w:line="1" w:lineRule="exact"/>
        <w:rPr>
          <w:rFonts w:ascii="Arial" w:eastAsia="Arial" w:hAnsi="Arial"/>
          <w:color w:val="222222"/>
          <w:sz w:val="17"/>
        </w:rPr>
      </w:pPr>
    </w:p>
    <w:p w:rsidR="00760D48" w:rsidRDefault="001D2EC7" w:rsidP="00760D48">
      <w:pPr>
        <w:spacing w:line="0" w:lineRule="atLeast"/>
        <w:ind w:left="3560"/>
        <w:rPr>
          <w:rFonts w:ascii="Arial" w:eastAsia="Arial" w:hAnsi="Arial"/>
          <w:color w:val="15BCA4"/>
          <w:sz w:val="17"/>
        </w:rPr>
      </w:pPr>
      <w:hyperlink r:id="rId69" w:history="1">
        <w:r w:rsidR="00760D48">
          <w:rPr>
            <w:rFonts w:ascii="Arial" w:eastAsia="Arial" w:hAnsi="Arial"/>
            <w:color w:val="15BCA4"/>
            <w:sz w:val="17"/>
          </w:rPr>
          <w:t>10.1016/j.ahj.2007.10.009</w:t>
        </w:r>
      </w:hyperlink>
    </w:p>
    <w:p w:rsidR="00760D48" w:rsidRDefault="00760D48" w:rsidP="00760D48">
      <w:pPr>
        <w:spacing w:line="50" w:lineRule="exact"/>
        <w:rPr>
          <w:rFonts w:ascii="Arial" w:eastAsia="Arial" w:hAnsi="Arial"/>
          <w:color w:val="15BCA4"/>
          <w:sz w:val="17"/>
        </w:rPr>
      </w:pPr>
    </w:p>
    <w:p w:rsidR="00760D48" w:rsidRDefault="001D2EC7" w:rsidP="00760D48">
      <w:pPr>
        <w:widowControl/>
        <w:numPr>
          <w:ilvl w:val="0"/>
          <w:numId w:val="7"/>
        </w:numPr>
        <w:tabs>
          <w:tab w:val="left" w:pos="3560"/>
        </w:tabs>
        <w:autoSpaceDE/>
        <w:autoSpaceDN/>
        <w:spacing w:line="301" w:lineRule="auto"/>
        <w:ind w:left="3560" w:right="160" w:hanging="466"/>
        <w:jc w:val="both"/>
        <w:rPr>
          <w:rFonts w:ascii="Arial" w:eastAsia="Arial" w:hAnsi="Arial"/>
          <w:color w:val="222222"/>
          <w:sz w:val="17"/>
        </w:rPr>
      </w:pPr>
      <w:hyperlink r:id="rId70" w:history="1">
        <w:r w:rsidR="00760D48">
          <w:rPr>
            <w:rFonts w:ascii="Arial" w:eastAsia="Arial" w:hAnsi="Arial"/>
            <w:color w:val="222222"/>
            <w:sz w:val="17"/>
          </w:rPr>
          <w:t>Biondi-Zoccai GG, Lotrionte M, Moretti C, et al.: A collaborative systematic review and meta-</w:t>
        </w:r>
      </w:hyperlink>
      <w:hyperlink r:id="rId71" w:history="1">
        <w:r w:rsidR="00760D48">
          <w:rPr>
            <w:rFonts w:ascii="Arial" w:eastAsia="Arial" w:hAnsi="Arial"/>
            <w:color w:val="222222"/>
            <w:sz w:val="17"/>
          </w:rPr>
          <w:t>analysis on 1278 patients undergoing percutaneous drug-eluting stenting for unprotected left</w:t>
        </w:r>
      </w:hyperlink>
      <w:r w:rsidR="00760D48">
        <w:rPr>
          <w:rFonts w:ascii="Arial" w:eastAsia="Arial" w:hAnsi="Arial"/>
          <w:color w:val="222222"/>
          <w:sz w:val="17"/>
        </w:rPr>
        <w:t xml:space="preserve"> </w:t>
      </w:r>
      <w:hyperlink r:id="rId72" w:history="1">
        <w:r w:rsidR="00760D48">
          <w:rPr>
            <w:rFonts w:ascii="Arial" w:eastAsia="Arial" w:hAnsi="Arial"/>
            <w:color w:val="222222"/>
            <w:sz w:val="17"/>
          </w:rPr>
          <w:t xml:space="preserve">main coronary artery disease. Am Heart J. 2008, 155:274-83. </w:t>
        </w:r>
        <w:r w:rsidR="00760D48">
          <w:rPr>
            <w:rFonts w:ascii="Arial" w:eastAsia="Arial" w:hAnsi="Arial"/>
            <w:color w:val="15BCA4"/>
            <w:sz w:val="17"/>
          </w:rPr>
          <w:t>10.1016/j.ahj.2007.10.009</w:t>
        </w:r>
      </w:hyperlink>
    </w:p>
    <w:p w:rsidR="00760D48" w:rsidRDefault="00760D48" w:rsidP="00760D48">
      <w:pPr>
        <w:spacing w:line="1" w:lineRule="exact"/>
        <w:rPr>
          <w:rFonts w:ascii="Arial" w:eastAsia="Arial" w:hAnsi="Arial"/>
          <w:color w:val="222222"/>
          <w:sz w:val="17"/>
        </w:rPr>
      </w:pPr>
    </w:p>
    <w:p w:rsidR="00760D48" w:rsidRDefault="001D2EC7" w:rsidP="00760D48">
      <w:pPr>
        <w:widowControl/>
        <w:numPr>
          <w:ilvl w:val="0"/>
          <w:numId w:val="7"/>
        </w:numPr>
        <w:tabs>
          <w:tab w:val="left" w:pos="3560"/>
        </w:tabs>
        <w:autoSpaceDE/>
        <w:autoSpaceDN/>
        <w:spacing w:line="0" w:lineRule="atLeast"/>
        <w:ind w:left="3560" w:hanging="466"/>
        <w:rPr>
          <w:rFonts w:ascii="Arial" w:eastAsia="Arial" w:hAnsi="Arial"/>
          <w:color w:val="222222"/>
          <w:sz w:val="17"/>
        </w:rPr>
      </w:pPr>
      <w:hyperlink r:id="rId73" w:history="1">
        <w:r w:rsidR="00760D48">
          <w:rPr>
            <w:rFonts w:ascii="Arial" w:eastAsia="Arial" w:hAnsi="Arial"/>
            <w:color w:val="222222"/>
            <w:sz w:val="17"/>
          </w:rPr>
          <w:t>Chieffo A, Morici N, Maisano F, et al.: Percutaneous treatment with drug-eluting stent</w:t>
        </w:r>
      </w:hyperlink>
    </w:p>
    <w:p w:rsidR="00760D48" w:rsidRDefault="00760D48" w:rsidP="00760D48">
      <w:pPr>
        <w:spacing w:line="50" w:lineRule="exact"/>
        <w:rPr>
          <w:rFonts w:ascii="Arial" w:eastAsia="Arial" w:hAnsi="Arial"/>
          <w:color w:val="222222"/>
          <w:sz w:val="17"/>
        </w:rPr>
      </w:pPr>
    </w:p>
    <w:p w:rsidR="00760D48" w:rsidRDefault="001D2EC7" w:rsidP="00760D48">
      <w:pPr>
        <w:spacing w:line="320" w:lineRule="auto"/>
        <w:ind w:left="3560" w:right="760"/>
        <w:rPr>
          <w:rFonts w:ascii="Arial" w:eastAsia="Arial" w:hAnsi="Arial"/>
          <w:color w:val="15BCA4"/>
          <w:sz w:val="16"/>
        </w:rPr>
      </w:pPr>
      <w:hyperlink r:id="rId74" w:history="1">
        <w:r w:rsidR="00760D48">
          <w:rPr>
            <w:rFonts w:ascii="Arial" w:eastAsia="Arial" w:hAnsi="Arial"/>
            <w:color w:val="222222"/>
            <w:sz w:val="16"/>
          </w:rPr>
          <w:t>implantation versus bypass surgery for unprotected left main stenosis: a single-center</w:t>
        </w:r>
      </w:hyperlink>
      <w:r w:rsidR="00760D48">
        <w:rPr>
          <w:rFonts w:ascii="Arial" w:eastAsia="Arial" w:hAnsi="Arial"/>
          <w:color w:val="222222"/>
          <w:sz w:val="16"/>
        </w:rPr>
        <w:t xml:space="preserve"> </w:t>
      </w:r>
      <w:hyperlink r:id="rId75" w:history="1">
        <w:r w:rsidR="00760D48">
          <w:rPr>
            <w:rFonts w:ascii="Arial" w:eastAsia="Arial" w:hAnsi="Arial"/>
            <w:color w:val="222222"/>
            <w:sz w:val="16"/>
          </w:rPr>
          <w:t xml:space="preserve">experience. Circulation. 2006, 113:2542-47. </w:t>
        </w:r>
        <w:r w:rsidR="00760D48">
          <w:rPr>
            <w:rFonts w:ascii="Arial" w:eastAsia="Arial" w:hAnsi="Arial"/>
            <w:color w:val="15BCA4"/>
            <w:sz w:val="16"/>
          </w:rPr>
          <w:t>10.1161/CIRCULATIONAHA.105.595694</w:t>
        </w:r>
      </w:hyperlink>
    </w:p>
    <w:p w:rsidR="00760D48" w:rsidRDefault="001D2EC7" w:rsidP="00760D48">
      <w:pPr>
        <w:widowControl/>
        <w:numPr>
          <w:ilvl w:val="0"/>
          <w:numId w:val="7"/>
        </w:numPr>
        <w:tabs>
          <w:tab w:val="left" w:pos="3560"/>
        </w:tabs>
        <w:autoSpaceDE/>
        <w:autoSpaceDN/>
        <w:spacing w:line="320" w:lineRule="auto"/>
        <w:ind w:left="3560" w:right="680" w:hanging="466"/>
        <w:rPr>
          <w:rFonts w:ascii="Arial" w:eastAsia="Arial" w:hAnsi="Arial"/>
          <w:color w:val="222222"/>
          <w:sz w:val="16"/>
        </w:rPr>
      </w:pPr>
      <w:hyperlink r:id="rId76" w:history="1">
        <w:r w:rsidR="00760D48">
          <w:rPr>
            <w:rFonts w:ascii="Arial" w:eastAsia="Arial" w:hAnsi="Arial"/>
            <w:color w:val="222222"/>
            <w:sz w:val="16"/>
          </w:rPr>
          <w:t>Lee MS, Kapoor N, Jamal F, et al.: Comparison of coronary artery bypass surgery with</w:t>
        </w:r>
      </w:hyperlink>
      <w:r w:rsidR="00760D48">
        <w:rPr>
          <w:rFonts w:ascii="Arial" w:eastAsia="Arial" w:hAnsi="Arial"/>
          <w:color w:val="222222"/>
          <w:sz w:val="16"/>
        </w:rPr>
        <w:t xml:space="preserve"> </w:t>
      </w:r>
      <w:hyperlink r:id="rId77" w:history="1">
        <w:r w:rsidR="00760D48">
          <w:rPr>
            <w:rFonts w:ascii="Arial" w:eastAsia="Arial" w:hAnsi="Arial"/>
            <w:color w:val="222222"/>
            <w:sz w:val="16"/>
          </w:rPr>
          <w:t>percutaneous coronary intervention with drug-eluting stents for unprotected left main</w:t>
        </w:r>
      </w:hyperlink>
      <w:r w:rsidR="00760D48">
        <w:rPr>
          <w:rFonts w:ascii="Arial" w:eastAsia="Arial" w:hAnsi="Arial"/>
          <w:color w:val="222222"/>
          <w:sz w:val="16"/>
        </w:rPr>
        <w:t xml:space="preserve"> </w:t>
      </w:r>
      <w:hyperlink r:id="rId78" w:history="1">
        <w:r w:rsidR="00760D48">
          <w:rPr>
            <w:rFonts w:ascii="Arial" w:eastAsia="Arial" w:hAnsi="Arial"/>
            <w:color w:val="222222"/>
            <w:sz w:val="16"/>
          </w:rPr>
          <w:t xml:space="preserve">coronary artery disease. J Am Coll Cardiol. 2006, 47:864-70. </w:t>
        </w:r>
        <w:r w:rsidR="00760D48">
          <w:rPr>
            <w:rFonts w:ascii="Arial" w:eastAsia="Arial" w:hAnsi="Arial"/>
            <w:color w:val="15BCA4"/>
            <w:sz w:val="16"/>
          </w:rPr>
          <w:t>10.1016/j.jcin.2008.02.007</w:t>
        </w:r>
      </w:hyperlink>
    </w:p>
    <w:p w:rsidR="00760D48" w:rsidRDefault="00760D48" w:rsidP="00760D48">
      <w:pPr>
        <w:spacing w:line="1" w:lineRule="exact"/>
        <w:rPr>
          <w:rFonts w:ascii="Arial" w:eastAsia="Arial" w:hAnsi="Arial"/>
          <w:color w:val="222222"/>
          <w:sz w:val="16"/>
        </w:rPr>
      </w:pPr>
    </w:p>
    <w:p w:rsidR="00760D48" w:rsidRDefault="001D2EC7" w:rsidP="00760D48">
      <w:pPr>
        <w:widowControl/>
        <w:numPr>
          <w:ilvl w:val="0"/>
          <w:numId w:val="7"/>
        </w:numPr>
        <w:tabs>
          <w:tab w:val="left" w:pos="3560"/>
        </w:tabs>
        <w:autoSpaceDE/>
        <w:autoSpaceDN/>
        <w:spacing w:line="301" w:lineRule="auto"/>
        <w:ind w:left="3560" w:right="120" w:hanging="466"/>
        <w:rPr>
          <w:rFonts w:ascii="Arial" w:eastAsia="Arial" w:hAnsi="Arial"/>
          <w:color w:val="222222"/>
          <w:sz w:val="17"/>
        </w:rPr>
      </w:pPr>
      <w:hyperlink r:id="rId79" w:history="1">
        <w:r w:rsidR="00760D48">
          <w:rPr>
            <w:rFonts w:ascii="Arial" w:eastAsia="Arial" w:hAnsi="Arial"/>
            <w:color w:val="222222"/>
            <w:sz w:val="17"/>
          </w:rPr>
          <w:t>Seung KB, Park DW, Kim YH, et al.: Stents versus coronary artery bypass grafting for left main</w:t>
        </w:r>
      </w:hyperlink>
      <w:r w:rsidR="00760D48">
        <w:rPr>
          <w:rFonts w:ascii="Arial" w:eastAsia="Arial" w:hAnsi="Arial"/>
          <w:color w:val="222222"/>
          <w:sz w:val="17"/>
        </w:rPr>
        <w:t xml:space="preserve"> </w:t>
      </w:r>
      <w:hyperlink r:id="rId80" w:history="1">
        <w:r w:rsidR="00760D48">
          <w:rPr>
            <w:rFonts w:ascii="Arial" w:eastAsia="Arial" w:hAnsi="Arial"/>
            <w:color w:val="222222"/>
            <w:sz w:val="17"/>
          </w:rPr>
          <w:t xml:space="preserve">coronary artery disease. N Engl J Med. 2008, 358:1781-92. </w:t>
        </w:r>
        <w:r w:rsidR="00760D48">
          <w:rPr>
            <w:rFonts w:ascii="Arial" w:eastAsia="Arial" w:hAnsi="Arial"/>
            <w:color w:val="15BCA4"/>
            <w:sz w:val="17"/>
          </w:rPr>
          <w:t>10.1056/NEJMoa0801441</w:t>
        </w:r>
      </w:hyperlink>
    </w:p>
    <w:p w:rsidR="00760D48" w:rsidRDefault="00760D48" w:rsidP="00760D48">
      <w:pPr>
        <w:spacing w:line="1" w:lineRule="exact"/>
        <w:rPr>
          <w:rFonts w:ascii="Arial" w:eastAsia="Arial" w:hAnsi="Arial"/>
          <w:color w:val="222222"/>
          <w:sz w:val="17"/>
        </w:rPr>
      </w:pPr>
    </w:p>
    <w:p w:rsidR="00760D48" w:rsidRDefault="001D2EC7" w:rsidP="00760D48">
      <w:pPr>
        <w:widowControl/>
        <w:numPr>
          <w:ilvl w:val="0"/>
          <w:numId w:val="7"/>
        </w:numPr>
        <w:tabs>
          <w:tab w:val="left" w:pos="3560"/>
        </w:tabs>
        <w:autoSpaceDE/>
        <w:autoSpaceDN/>
        <w:spacing w:line="320" w:lineRule="auto"/>
        <w:ind w:left="3560" w:right="220" w:hanging="466"/>
        <w:rPr>
          <w:rFonts w:ascii="Arial" w:eastAsia="Arial" w:hAnsi="Arial"/>
          <w:color w:val="222222"/>
          <w:sz w:val="16"/>
        </w:rPr>
      </w:pPr>
      <w:hyperlink r:id="rId81" w:history="1">
        <w:r w:rsidR="00760D48">
          <w:rPr>
            <w:rFonts w:ascii="Arial" w:eastAsia="Arial" w:hAnsi="Arial"/>
            <w:color w:val="222222"/>
            <w:sz w:val="16"/>
          </w:rPr>
          <w:t>Buszman PE, Kiesz SR, Bochenek A, et al.: Acute and late outcomes of unprotected left main</w:t>
        </w:r>
      </w:hyperlink>
      <w:r w:rsidR="00760D48">
        <w:rPr>
          <w:rFonts w:ascii="Arial" w:eastAsia="Arial" w:hAnsi="Arial"/>
          <w:color w:val="222222"/>
          <w:sz w:val="16"/>
        </w:rPr>
        <w:t xml:space="preserve"> </w:t>
      </w:r>
      <w:hyperlink r:id="rId82" w:history="1">
        <w:r w:rsidR="00760D48">
          <w:rPr>
            <w:rFonts w:ascii="Arial" w:eastAsia="Arial" w:hAnsi="Arial"/>
            <w:color w:val="222222"/>
            <w:sz w:val="16"/>
          </w:rPr>
          <w:t>stenting in comparison with surgical revascularization. J Am Coll Cardiol. 2008, 51:538-45.</w:t>
        </w:r>
      </w:hyperlink>
    </w:p>
    <w:p w:rsidR="00760D48" w:rsidRDefault="001D2EC7" w:rsidP="00760D48">
      <w:pPr>
        <w:spacing w:line="0" w:lineRule="atLeast"/>
        <w:ind w:left="3560"/>
        <w:rPr>
          <w:rFonts w:ascii="Arial" w:eastAsia="Arial" w:hAnsi="Arial"/>
          <w:color w:val="15BCA4"/>
          <w:sz w:val="17"/>
        </w:rPr>
      </w:pPr>
      <w:hyperlink r:id="rId83" w:history="1">
        <w:r w:rsidR="00760D48">
          <w:rPr>
            <w:rFonts w:ascii="Arial" w:eastAsia="Arial" w:hAnsi="Arial"/>
            <w:color w:val="15BCA4"/>
            <w:sz w:val="17"/>
          </w:rPr>
          <w:t>10.1016/j.jacc.2007.09.054</w:t>
        </w:r>
      </w:hyperlink>
    </w:p>
    <w:p w:rsidR="00760D48" w:rsidRDefault="00760D48" w:rsidP="00760D48">
      <w:pPr>
        <w:spacing w:line="50" w:lineRule="exact"/>
        <w:rPr>
          <w:rFonts w:ascii="Arial" w:eastAsia="Arial" w:hAnsi="Arial"/>
          <w:color w:val="15BCA4"/>
          <w:sz w:val="17"/>
        </w:rPr>
      </w:pPr>
    </w:p>
    <w:p w:rsidR="00760D48" w:rsidRDefault="001D2EC7" w:rsidP="00760D48">
      <w:pPr>
        <w:widowControl/>
        <w:numPr>
          <w:ilvl w:val="0"/>
          <w:numId w:val="7"/>
        </w:numPr>
        <w:tabs>
          <w:tab w:val="left" w:pos="3560"/>
        </w:tabs>
        <w:autoSpaceDE/>
        <w:autoSpaceDN/>
        <w:spacing w:line="301" w:lineRule="auto"/>
        <w:ind w:left="3560" w:right="480" w:hanging="466"/>
        <w:rPr>
          <w:rFonts w:ascii="Arial" w:eastAsia="Arial" w:hAnsi="Arial"/>
          <w:color w:val="222222"/>
          <w:sz w:val="17"/>
        </w:rPr>
      </w:pPr>
      <w:hyperlink r:id="rId84" w:history="1">
        <w:r w:rsidR="00760D48">
          <w:rPr>
            <w:rFonts w:ascii="Arial" w:eastAsia="Arial" w:hAnsi="Arial"/>
            <w:color w:val="222222"/>
            <w:sz w:val="17"/>
          </w:rPr>
          <w:t>Serruys PW, Morice MC, Kappetein AP, et al.: Percutaneous coronary intervention versus</w:t>
        </w:r>
      </w:hyperlink>
      <w:r w:rsidR="00760D48">
        <w:rPr>
          <w:rFonts w:ascii="Arial" w:eastAsia="Arial" w:hAnsi="Arial"/>
          <w:color w:val="222222"/>
          <w:sz w:val="17"/>
        </w:rPr>
        <w:t xml:space="preserve"> </w:t>
      </w:r>
      <w:hyperlink r:id="rId85" w:history="1">
        <w:r w:rsidR="00760D48">
          <w:rPr>
            <w:rFonts w:ascii="Arial" w:eastAsia="Arial" w:hAnsi="Arial"/>
            <w:color w:val="222222"/>
            <w:sz w:val="17"/>
          </w:rPr>
          <w:t>coronary-artery bypass grafting for severe coronary artery disease. N Engl J Med. 2009,</w:t>
        </w:r>
      </w:hyperlink>
      <w:r w:rsidR="00760D48">
        <w:rPr>
          <w:rFonts w:ascii="Arial" w:eastAsia="Arial" w:hAnsi="Arial"/>
          <w:color w:val="222222"/>
          <w:sz w:val="17"/>
        </w:rPr>
        <w:t xml:space="preserve"> 360:961-72. </w:t>
      </w:r>
      <w:hyperlink r:id="rId86" w:history="1">
        <w:r w:rsidR="00760D48">
          <w:rPr>
            <w:rFonts w:ascii="Arial" w:eastAsia="Arial" w:hAnsi="Arial"/>
            <w:color w:val="15BCA4"/>
            <w:sz w:val="17"/>
          </w:rPr>
          <w:t>10.1056/NEJMoa0804626</w:t>
        </w:r>
      </w:hyperlink>
    </w:p>
    <w:p w:rsidR="00760D48" w:rsidRDefault="00760D48" w:rsidP="00760D48">
      <w:pPr>
        <w:spacing w:line="1" w:lineRule="exact"/>
        <w:rPr>
          <w:rFonts w:ascii="Arial" w:eastAsia="Arial" w:hAnsi="Arial"/>
          <w:color w:val="222222"/>
          <w:sz w:val="17"/>
        </w:rPr>
      </w:pPr>
    </w:p>
    <w:p w:rsidR="00760D48" w:rsidRDefault="001D2EC7" w:rsidP="00760D48">
      <w:pPr>
        <w:widowControl/>
        <w:numPr>
          <w:ilvl w:val="0"/>
          <w:numId w:val="7"/>
        </w:numPr>
        <w:tabs>
          <w:tab w:val="left" w:pos="3560"/>
        </w:tabs>
        <w:autoSpaceDE/>
        <w:autoSpaceDN/>
        <w:spacing w:line="301" w:lineRule="auto"/>
        <w:ind w:left="3560" w:right="140" w:hanging="466"/>
        <w:rPr>
          <w:rFonts w:ascii="Arial" w:eastAsia="Arial" w:hAnsi="Arial"/>
          <w:color w:val="222222"/>
          <w:sz w:val="17"/>
        </w:rPr>
      </w:pPr>
      <w:hyperlink r:id="rId87" w:history="1">
        <w:r w:rsidR="00760D48">
          <w:rPr>
            <w:rFonts w:ascii="Arial" w:eastAsia="Arial" w:hAnsi="Arial"/>
            <w:color w:val="222222"/>
            <w:sz w:val="17"/>
          </w:rPr>
          <w:t>Sianos G, Morel M, Kappetein AP, et al.: The SYNTAX score: an angiographic tool grading the</w:t>
        </w:r>
      </w:hyperlink>
      <w:r w:rsidR="00760D48">
        <w:rPr>
          <w:rFonts w:ascii="Arial" w:eastAsia="Arial" w:hAnsi="Arial"/>
          <w:color w:val="222222"/>
          <w:sz w:val="17"/>
        </w:rPr>
        <w:t xml:space="preserve"> </w:t>
      </w:r>
      <w:hyperlink r:id="rId88" w:history="1">
        <w:r w:rsidR="00760D48">
          <w:rPr>
            <w:rFonts w:ascii="Arial" w:eastAsia="Arial" w:hAnsi="Arial"/>
            <w:color w:val="222222"/>
            <w:sz w:val="17"/>
          </w:rPr>
          <w:t>complexity of coronary artery disease. Eurointervention. 2005, 1:219-27.</w:t>
        </w:r>
      </w:hyperlink>
    </w:p>
    <w:p w:rsidR="00760D48" w:rsidRDefault="00760D48" w:rsidP="00760D48">
      <w:pPr>
        <w:spacing w:line="1" w:lineRule="exact"/>
        <w:rPr>
          <w:rFonts w:ascii="Arial" w:eastAsia="Arial" w:hAnsi="Arial"/>
          <w:color w:val="222222"/>
          <w:sz w:val="17"/>
        </w:rPr>
      </w:pPr>
    </w:p>
    <w:p w:rsidR="00760D48" w:rsidRDefault="001D2EC7" w:rsidP="00760D48">
      <w:pPr>
        <w:widowControl/>
        <w:numPr>
          <w:ilvl w:val="0"/>
          <w:numId w:val="7"/>
        </w:numPr>
        <w:tabs>
          <w:tab w:val="left" w:pos="3560"/>
        </w:tabs>
        <w:autoSpaceDE/>
        <w:autoSpaceDN/>
        <w:spacing w:line="320" w:lineRule="auto"/>
        <w:ind w:left="3560" w:right="180" w:hanging="466"/>
        <w:jc w:val="both"/>
        <w:rPr>
          <w:rFonts w:ascii="Arial" w:eastAsia="Arial" w:hAnsi="Arial"/>
          <w:color w:val="222222"/>
          <w:sz w:val="16"/>
        </w:rPr>
      </w:pPr>
      <w:hyperlink r:id="rId89" w:history="1">
        <w:r w:rsidR="00760D48">
          <w:rPr>
            <w:rFonts w:ascii="Arial" w:eastAsia="Arial" w:hAnsi="Arial"/>
            <w:color w:val="222222"/>
            <w:sz w:val="16"/>
          </w:rPr>
          <w:t>Mäkikallio T, Holm NR, Lindsay M et al: On behalf of the NOBLE study investigators. NOBLE:</w:t>
        </w:r>
      </w:hyperlink>
      <w:r w:rsidR="00760D48">
        <w:rPr>
          <w:rFonts w:ascii="Arial" w:eastAsia="Arial" w:hAnsi="Arial"/>
          <w:color w:val="222222"/>
          <w:sz w:val="16"/>
        </w:rPr>
        <w:t xml:space="preserve"> </w:t>
      </w:r>
      <w:hyperlink r:id="rId90" w:history="1">
        <w:r w:rsidR="00760D48">
          <w:rPr>
            <w:rFonts w:ascii="Arial" w:eastAsia="Arial" w:hAnsi="Arial"/>
            <w:color w:val="222222"/>
            <w:sz w:val="16"/>
          </w:rPr>
          <w:t>a prospective, randomized trial comparing biolimus-eluting stents and bypass graft surgery in</w:t>
        </w:r>
      </w:hyperlink>
      <w:r w:rsidR="00760D48">
        <w:rPr>
          <w:rFonts w:ascii="Arial" w:eastAsia="Arial" w:hAnsi="Arial"/>
          <w:color w:val="222222"/>
          <w:sz w:val="16"/>
        </w:rPr>
        <w:t xml:space="preserve"> </w:t>
      </w:r>
      <w:hyperlink r:id="rId91" w:history="1">
        <w:r w:rsidR="00760D48">
          <w:rPr>
            <w:rFonts w:ascii="Arial" w:eastAsia="Arial" w:hAnsi="Arial"/>
            <w:color w:val="222222"/>
            <w:sz w:val="16"/>
          </w:rPr>
          <w:t>selected patients with left main coronary artery disease. Presented at: the 2016 Transcatheter</w:t>
        </w:r>
      </w:hyperlink>
      <w:r w:rsidR="00760D48">
        <w:rPr>
          <w:rFonts w:ascii="Arial" w:eastAsia="Arial" w:hAnsi="Arial"/>
          <w:color w:val="222222"/>
          <w:sz w:val="16"/>
        </w:rPr>
        <w:t xml:space="preserve"> </w:t>
      </w:r>
      <w:hyperlink r:id="rId92" w:history="1">
        <w:r w:rsidR="00760D48">
          <w:rPr>
            <w:rFonts w:ascii="Arial" w:eastAsia="Arial" w:hAnsi="Arial"/>
            <w:color w:val="222222"/>
            <w:sz w:val="16"/>
          </w:rPr>
          <w:t>Cardiovascular Therapeutics meeting scientific symposium. Washington, DC; October.</w:t>
        </w:r>
      </w:hyperlink>
    </w:p>
    <w:p w:rsidR="00760D48" w:rsidRDefault="00760D48" w:rsidP="00760D48">
      <w:pPr>
        <w:spacing w:line="1" w:lineRule="exact"/>
        <w:rPr>
          <w:rFonts w:ascii="Arial" w:eastAsia="Arial" w:hAnsi="Arial"/>
          <w:color w:val="222222"/>
          <w:sz w:val="16"/>
        </w:rPr>
      </w:pPr>
    </w:p>
    <w:p w:rsidR="00760D48" w:rsidRDefault="00760D48" w:rsidP="00760D48">
      <w:pPr>
        <w:spacing w:line="0" w:lineRule="atLeast"/>
        <w:ind w:left="3560"/>
        <w:rPr>
          <w:rFonts w:ascii="Arial" w:eastAsia="Arial" w:hAnsi="Arial"/>
          <w:color w:val="15BCA4"/>
          <w:sz w:val="17"/>
        </w:rPr>
      </w:pPr>
      <w:r>
        <w:rPr>
          <w:rFonts w:ascii="Arial" w:eastAsia="Arial" w:hAnsi="Arial"/>
          <w:color w:val="222222"/>
          <w:sz w:val="17"/>
        </w:rPr>
        <w:t xml:space="preserve">29:2016. </w:t>
      </w:r>
      <w:hyperlink r:id="rId93" w:history="1">
        <w:r>
          <w:rPr>
            <w:rFonts w:ascii="Arial" w:eastAsia="Arial" w:hAnsi="Arial"/>
            <w:color w:val="15BCA4"/>
            <w:sz w:val="17"/>
          </w:rPr>
          <w:t>10.1016/S0140-6736(16)32052-9</w:t>
        </w:r>
      </w:hyperlink>
    </w:p>
    <w:p w:rsidR="00760D48" w:rsidRDefault="00760D48" w:rsidP="00760D48">
      <w:pPr>
        <w:spacing w:line="50" w:lineRule="exact"/>
        <w:rPr>
          <w:rFonts w:ascii="Arial" w:eastAsia="Arial" w:hAnsi="Arial"/>
          <w:color w:val="222222"/>
          <w:sz w:val="17"/>
        </w:rPr>
      </w:pPr>
    </w:p>
    <w:p w:rsidR="00760D48" w:rsidRDefault="00760D48" w:rsidP="00760D48">
      <w:pPr>
        <w:widowControl/>
        <w:numPr>
          <w:ilvl w:val="0"/>
          <w:numId w:val="7"/>
        </w:numPr>
        <w:tabs>
          <w:tab w:val="left" w:pos="3560"/>
        </w:tabs>
        <w:autoSpaceDE/>
        <w:autoSpaceDN/>
        <w:spacing w:line="0" w:lineRule="atLeast"/>
        <w:ind w:left="3560" w:hanging="466"/>
        <w:rPr>
          <w:rFonts w:ascii="Arial" w:eastAsia="Arial" w:hAnsi="Arial"/>
          <w:color w:val="222222"/>
          <w:sz w:val="17"/>
        </w:rPr>
      </w:pPr>
      <w:r>
        <w:rPr>
          <w:rFonts w:ascii="Arial" w:eastAsia="Arial" w:hAnsi="Arial"/>
          <w:color w:val="222222"/>
          <w:sz w:val="17"/>
        </w:rPr>
        <w:t>Tiroch K, Mehilli J, Byrne RA et al: Impact of coronary anatomy and stenting technique on</w:t>
      </w:r>
    </w:p>
    <w:p w:rsidR="00760D48" w:rsidRDefault="00760D48" w:rsidP="00760D48">
      <w:pPr>
        <w:spacing w:line="20" w:lineRule="exact"/>
        <w:rPr>
          <w:rFonts w:ascii="Arial" w:eastAsia="Arial" w:hAnsi="Arial"/>
          <w:color w:val="222222"/>
          <w:sz w:val="16"/>
        </w:rPr>
      </w:pPr>
      <w:r>
        <w:rPr>
          <w:rFonts w:ascii="Arial" w:eastAsia="Arial" w:hAnsi="Arial"/>
          <w:noProof/>
          <w:color w:val="222222"/>
          <w:sz w:val="17"/>
          <w:lang w:bidi="ar-SA"/>
        </w:rPr>
        <w:drawing>
          <wp:anchor distT="0" distB="0" distL="114300" distR="114300" simplePos="0" relativeHeight="251700224" behindDoc="1" locked="0" layoutInCell="1" allowOverlap="1">
            <wp:simplePos x="0" y="0"/>
            <wp:positionH relativeFrom="column">
              <wp:posOffset>3810</wp:posOffset>
            </wp:positionH>
            <wp:positionV relativeFrom="paragraph">
              <wp:posOffset>280035</wp:posOffset>
            </wp:positionV>
            <wp:extent cx="6827520" cy="95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7520" cy="952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 w:lineRule="exact"/>
        <w:rPr>
          <w:rFonts w:ascii="Arial" w:eastAsia="Arial" w:hAnsi="Arial"/>
          <w:color w:val="222222"/>
          <w:sz w:val="16"/>
        </w:rPr>
        <w:sectPr w:rsidR="00760D48">
          <w:pgSz w:w="11900" w:h="16840"/>
          <w:pgMar w:top="1146" w:right="580" w:bottom="212" w:left="560" w:header="0" w:footer="0" w:gutter="0"/>
          <w:cols w:space="0" w:equalWidth="0">
            <w:col w:w="10760"/>
          </w:cols>
          <w:docGrid w:linePitch="360"/>
        </w:sectPr>
      </w:pPr>
    </w:p>
    <w:p w:rsidR="00760D48" w:rsidRDefault="00760D48" w:rsidP="00760D48">
      <w:pPr>
        <w:spacing w:line="200" w:lineRule="exact"/>
        <w:rPr>
          <w:rFonts w:ascii="Arial" w:eastAsia="Arial" w:hAnsi="Arial"/>
          <w:color w:val="222222"/>
          <w:sz w:val="16"/>
        </w:rPr>
      </w:pPr>
    </w:p>
    <w:p w:rsidR="00760D48" w:rsidRDefault="00760D48" w:rsidP="00760D48">
      <w:pPr>
        <w:spacing w:line="318" w:lineRule="exact"/>
        <w:rPr>
          <w:rFonts w:ascii="Arial" w:eastAsia="Arial" w:hAnsi="Arial"/>
          <w:color w:val="222222"/>
          <w:sz w:val="16"/>
        </w:rPr>
      </w:pPr>
    </w:p>
    <w:p w:rsidR="00760D48" w:rsidRDefault="00760D48" w:rsidP="00760D48">
      <w:pPr>
        <w:tabs>
          <w:tab w:val="left" w:pos="10240"/>
        </w:tabs>
        <w:spacing w:line="0" w:lineRule="atLeast"/>
        <w:rPr>
          <w:rFonts w:ascii="Arial" w:eastAsia="Arial" w:hAnsi="Arial"/>
          <w:sz w:val="16"/>
        </w:rPr>
      </w:pPr>
      <w:r>
        <w:rPr>
          <w:rFonts w:ascii="Arial" w:eastAsia="Arial" w:hAnsi="Arial"/>
          <w:sz w:val="17"/>
        </w:rPr>
        <w:t>2018 Mahmood et al. Cureus 10(6): e2857. DOI 10.7759/cureus.2857</w:t>
      </w:r>
      <w:r>
        <w:rPr>
          <w:rFonts w:ascii="Times New Roman" w:eastAsia="Times New Roman" w:hAnsi="Times New Roman"/>
        </w:rPr>
        <w:tab/>
      </w:r>
      <w:r>
        <w:rPr>
          <w:rFonts w:ascii="Arial" w:eastAsia="Arial" w:hAnsi="Arial"/>
          <w:sz w:val="16"/>
        </w:rPr>
        <w:t>9 of 10</w:t>
      </w:r>
    </w:p>
    <w:p w:rsidR="00760D48" w:rsidRDefault="00760D48" w:rsidP="00760D48">
      <w:pPr>
        <w:tabs>
          <w:tab w:val="left" w:pos="10240"/>
        </w:tabs>
        <w:spacing w:line="0" w:lineRule="atLeast"/>
        <w:rPr>
          <w:rFonts w:ascii="Arial" w:eastAsia="Arial" w:hAnsi="Arial"/>
          <w:sz w:val="16"/>
        </w:rPr>
        <w:sectPr w:rsidR="00760D48">
          <w:type w:val="continuous"/>
          <w:pgSz w:w="11900" w:h="16840"/>
          <w:pgMar w:top="1146" w:right="580" w:bottom="212" w:left="560" w:header="0" w:footer="0" w:gutter="0"/>
          <w:cols w:space="0" w:equalWidth="0">
            <w:col w:w="10760"/>
          </w:cols>
          <w:docGrid w:linePitch="360"/>
        </w:sectPr>
      </w:pPr>
    </w:p>
    <w:p w:rsidR="00760D48" w:rsidRDefault="00760D48" w:rsidP="00760D48">
      <w:pPr>
        <w:spacing w:line="301" w:lineRule="auto"/>
        <w:ind w:left="3560" w:right="260"/>
        <w:rPr>
          <w:rFonts w:ascii="Arial" w:eastAsia="Arial" w:hAnsi="Arial"/>
          <w:color w:val="15BCA4"/>
          <w:sz w:val="17"/>
        </w:rPr>
      </w:pPr>
      <w:bookmarkStart w:id="9" w:name="page10"/>
      <w:bookmarkEnd w:id="9"/>
      <w:r>
        <w:rPr>
          <w:rFonts w:ascii="Arial" w:eastAsia="Arial" w:hAnsi="Arial"/>
          <w:noProof/>
          <w:sz w:val="16"/>
          <w:lang w:bidi="ar-SA"/>
        </w:rPr>
        <w:lastRenderedPageBreak/>
        <w:drawing>
          <wp:anchor distT="0" distB="0" distL="114300" distR="114300" simplePos="0" relativeHeight="251701248" behindDoc="1" locked="0" layoutInCell="1" allowOverlap="1">
            <wp:simplePos x="0" y="0"/>
            <wp:positionH relativeFrom="page">
              <wp:posOffset>437515</wp:posOffset>
            </wp:positionH>
            <wp:positionV relativeFrom="page">
              <wp:posOffset>354965</wp:posOffset>
            </wp:positionV>
            <wp:extent cx="653415" cy="1460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46050"/>
                    </a:xfrm>
                    <a:prstGeom prst="rect">
                      <a:avLst/>
                    </a:prstGeom>
                    <a:noFill/>
                  </pic:spPr>
                </pic:pic>
              </a:graphicData>
            </a:graphic>
            <wp14:sizeRelH relativeFrom="page">
              <wp14:pctWidth>0</wp14:pctWidth>
            </wp14:sizeRelH>
            <wp14:sizeRelV relativeFrom="page">
              <wp14:pctHeight>0</wp14:pctHeight>
            </wp14:sizeRelV>
          </wp:anchor>
        </w:drawing>
      </w:r>
      <w:hyperlink r:id="rId94" w:history="1">
        <w:r>
          <w:rPr>
            <w:rFonts w:ascii="Arial" w:eastAsia="Arial" w:hAnsi="Arial"/>
            <w:color w:val="222222"/>
            <w:sz w:val="17"/>
          </w:rPr>
          <w:t>long-term outcome after drug-eluting stent implantation for unprotected left main coronary</w:t>
        </w:r>
      </w:hyperlink>
      <w:r>
        <w:rPr>
          <w:rFonts w:ascii="Arial" w:eastAsia="Arial" w:hAnsi="Arial"/>
          <w:color w:val="222222"/>
          <w:sz w:val="17"/>
        </w:rPr>
        <w:t xml:space="preserve"> </w:t>
      </w:r>
      <w:hyperlink r:id="rId95" w:history="1">
        <w:r>
          <w:rPr>
            <w:rFonts w:ascii="Arial" w:eastAsia="Arial" w:hAnsi="Arial"/>
            <w:color w:val="222222"/>
            <w:sz w:val="17"/>
          </w:rPr>
          <w:t xml:space="preserve">artery disease. JACC Cardiovasc Interv. 2014:29–36. </w:t>
        </w:r>
        <w:r>
          <w:rPr>
            <w:rFonts w:ascii="Arial" w:eastAsia="Arial" w:hAnsi="Arial"/>
            <w:color w:val="15BCA4"/>
            <w:sz w:val="17"/>
          </w:rPr>
          <w:t>10.1016/j.jcin.2013.08.013</w:t>
        </w:r>
      </w:hyperlink>
    </w:p>
    <w:p w:rsidR="00760D48" w:rsidRDefault="00760D48" w:rsidP="00760D48">
      <w:pPr>
        <w:spacing w:line="1" w:lineRule="exact"/>
        <w:rPr>
          <w:rFonts w:ascii="Times New Roman" w:eastAsia="Times New Roman" w:hAnsi="Times New Roman"/>
        </w:rPr>
      </w:pPr>
    </w:p>
    <w:p w:rsidR="00760D48" w:rsidRDefault="001D2EC7" w:rsidP="00760D48">
      <w:pPr>
        <w:widowControl/>
        <w:numPr>
          <w:ilvl w:val="0"/>
          <w:numId w:val="8"/>
        </w:numPr>
        <w:tabs>
          <w:tab w:val="left" w:pos="3560"/>
        </w:tabs>
        <w:autoSpaceDE/>
        <w:autoSpaceDN/>
        <w:spacing w:line="301" w:lineRule="auto"/>
        <w:ind w:left="3560" w:right="260" w:hanging="466"/>
        <w:rPr>
          <w:rFonts w:ascii="Arial" w:eastAsia="Arial" w:hAnsi="Arial"/>
          <w:color w:val="222222"/>
          <w:sz w:val="17"/>
        </w:rPr>
      </w:pPr>
      <w:hyperlink r:id="rId96" w:history="1">
        <w:r w:rsidR="00760D48">
          <w:rPr>
            <w:rFonts w:ascii="Arial" w:eastAsia="Arial" w:hAnsi="Arial"/>
            <w:color w:val="222222"/>
            <w:sz w:val="17"/>
          </w:rPr>
          <w:t>Naganuma T, Chieffo A, Meliga E, et al.: Long-term clinical outcomes after percutaneous</w:t>
        </w:r>
      </w:hyperlink>
      <w:r w:rsidR="00760D48">
        <w:rPr>
          <w:rFonts w:ascii="Arial" w:eastAsia="Arial" w:hAnsi="Arial"/>
          <w:color w:val="222222"/>
          <w:sz w:val="17"/>
        </w:rPr>
        <w:t xml:space="preserve"> </w:t>
      </w:r>
      <w:hyperlink r:id="rId97" w:history="1">
        <w:r w:rsidR="00760D48">
          <w:rPr>
            <w:rFonts w:ascii="Arial" w:eastAsia="Arial" w:hAnsi="Arial"/>
            <w:color w:val="222222"/>
            <w:sz w:val="17"/>
          </w:rPr>
          <w:t>coronary intervention for ostial/mid-shaft lesions versus distal bifurcation lesions in</w:t>
        </w:r>
      </w:hyperlink>
      <w:r w:rsidR="00760D48">
        <w:rPr>
          <w:rFonts w:ascii="Arial" w:eastAsia="Arial" w:hAnsi="Arial"/>
          <w:color w:val="222222"/>
          <w:sz w:val="17"/>
        </w:rPr>
        <w:t xml:space="preserve"> </w:t>
      </w:r>
      <w:hyperlink r:id="rId98" w:history="1">
        <w:r w:rsidR="00760D48">
          <w:rPr>
            <w:rFonts w:ascii="Arial" w:eastAsia="Arial" w:hAnsi="Arial"/>
            <w:color w:val="222222"/>
            <w:sz w:val="17"/>
          </w:rPr>
          <w:t>unprotected left main coronary artery: the DELTA Registry (drug-eluting stent for left main</w:t>
        </w:r>
      </w:hyperlink>
      <w:r w:rsidR="00760D48">
        <w:rPr>
          <w:rFonts w:ascii="Arial" w:eastAsia="Arial" w:hAnsi="Arial"/>
          <w:color w:val="222222"/>
          <w:sz w:val="17"/>
        </w:rPr>
        <w:t xml:space="preserve"> </w:t>
      </w:r>
      <w:hyperlink r:id="rId99" w:history="1">
        <w:r w:rsidR="00760D48">
          <w:rPr>
            <w:rFonts w:ascii="Arial" w:eastAsia="Arial" w:hAnsi="Arial"/>
            <w:color w:val="222222"/>
            <w:sz w:val="17"/>
          </w:rPr>
          <w:t>coronary artery disease): a multicenter registry evaluating percutaneous coronary</w:t>
        </w:r>
      </w:hyperlink>
      <w:r w:rsidR="00760D48">
        <w:rPr>
          <w:rFonts w:ascii="Arial" w:eastAsia="Arial" w:hAnsi="Arial"/>
          <w:color w:val="222222"/>
          <w:sz w:val="17"/>
        </w:rPr>
        <w:t xml:space="preserve"> </w:t>
      </w:r>
      <w:hyperlink r:id="rId100" w:history="1">
        <w:r w:rsidR="00760D48">
          <w:rPr>
            <w:rFonts w:ascii="Arial" w:eastAsia="Arial" w:hAnsi="Arial"/>
            <w:color w:val="222222"/>
            <w:sz w:val="17"/>
          </w:rPr>
          <w:t>intervention versus coronary artery bypass grafting for left main treatment. JACC Cardiovasc</w:t>
        </w:r>
      </w:hyperlink>
      <w:r w:rsidR="00760D48">
        <w:rPr>
          <w:rFonts w:ascii="Arial" w:eastAsia="Arial" w:hAnsi="Arial"/>
          <w:color w:val="222222"/>
          <w:sz w:val="17"/>
        </w:rPr>
        <w:t xml:space="preserve"> Interv. 2013, 6:1242-49. </w:t>
      </w:r>
      <w:hyperlink r:id="rId101" w:history="1">
        <w:r w:rsidR="00760D48">
          <w:rPr>
            <w:rFonts w:ascii="Arial" w:eastAsia="Arial" w:hAnsi="Arial"/>
            <w:color w:val="15BCA4"/>
            <w:sz w:val="17"/>
          </w:rPr>
          <w:t>10.1016/j.jcin.2013.08.005</w:t>
        </w:r>
      </w:hyperlink>
    </w:p>
    <w:p w:rsidR="00760D48" w:rsidRDefault="00760D48" w:rsidP="00760D48">
      <w:pPr>
        <w:spacing w:line="3" w:lineRule="exact"/>
        <w:rPr>
          <w:rFonts w:ascii="Arial" w:eastAsia="Arial" w:hAnsi="Arial"/>
          <w:color w:val="222222"/>
          <w:sz w:val="17"/>
        </w:rPr>
      </w:pPr>
    </w:p>
    <w:p w:rsidR="00760D48" w:rsidRDefault="001D2EC7" w:rsidP="00760D48">
      <w:pPr>
        <w:widowControl/>
        <w:numPr>
          <w:ilvl w:val="0"/>
          <w:numId w:val="8"/>
        </w:numPr>
        <w:tabs>
          <w:tab w:val="left" w:pos="3560"/>
        </w:tabs>
        <w:autoSpaceDE/>
        <w:autoSpaceDN/>
        <w:spacing w:line="301" w:lineRule="auto"/>
        <w:ind w:left="3560" w:right="240" w:hanging="466"/>
        <w:rPr>
          <w:rFonts w:ascii="Arial" w:eastAsia="Arial" w:hAnsi="Arial"/>
          <w:color w:val="15BCA4"/>
          <w:sz w:val="17"/>
        </w:rPr>
      </w:pPr>
      <w:hyperlink r:id="rId102" w:history="1">
        <w:r w:rsidR="00760D48">
          <w:rPr>
            <w:rFonts w:ascii="Arial" w:eastAsia="Arial" w:hAnsi="Arial"/>
            <w:color w:val="222222"/>
            <w:sz w:val="17"/>
          </w:rPr>
          <w:t>Pandya SB, Kim YH, Meyers SN, et al.: Drug-eluting versus bare-metal stents in unprotected</w:t>
        </w:r>
      </w:hyperlink>
      <w:r w:rsidR="00760D48">
        <w:rPr>
          <w:rFonts w:ascii="Arial" w:eastAsia="Arial" w:hAnsi="Arial"/>
          <w:color w:val="222222"/>
          <w:sz w:val="17"/>
        </w:rPr>
        <w:t xml:space="preserve"> </w:t>
      </w:r>
      <w:hyperlink r:id="rId103" w:history="1">
        <w:r w:rsidR="00760D48">
          <w:rPr>
            <w:rFonts w:ascii="Arial" w:eastAsia="Arial" w:hAnsi="Arial"/>
            <w:color w:val="222222"/>
            <w:sz w:val="17"/>
          </w:rPr>
          <w:t>left main coronary artery stenosis a meta-analysis. JACC Cardiovasc Interv. 2010, 3:602-11.</w:t>
        </w:r>
      </w:hyperlink>
      <w:r w:rsidR="00760D48">
        <w:rPr>
          <w:rFonts w:ascii="Arial" w:eastAsia="Arial" w:hAnsi="Arial"/>
          <w:color w:val="222222"/>
          <w:sz w:val="17"/>
        </w:rPr>
        <w:t xml:space="preserve"> </w:t>
      </w:r>
      <w:hyperlink r:id="rId104" w:history="1">
        <w:r w:rsidR="00760D48">
          <w:rPr>
            <w:rFonts w:ascii="Arial" w:eastAsia="Arial" w:hAnsi="Arial"/>
            <w:color w:val="15BCA4"/>
            <w:sz w:val="17"/>
          </w:rPr>
          <w:t>10.1016/j.jcin.2010.03.019</w:t>
        </w:r>
      </w:hyperlink>
    </w:p>
    <w:p w:rsidR="00760D48" w:rsidRDefault="00760D48" w:rsidP="00760D48">
      <w:pPr>
        <w:spacing w:line="1" w:lineRule="exact"/>
        <w:rPr>
          <w:rFonts w:ascii="Arial" w:eastAsia="Arial" w:hAnsi="Arial"/>
          <w:color w:val="15BCA4"/>
          <w:sz w:val="17"/>
        </w:rPr>
      </w:pPr>
    </w:p>
    <w:p w:rsidR="00760D48" w:rsidRDefault="001D2EC7" w:rsidP="00760D48">
      <w:pPr>
        <w:widowControl/>
        <w:numPr>
          <w:ilvl w:val="0"/>
          <w:numId w:val="8"/>
        </w:numPr>
        <w:tabs>
          <w:tab w:val="left" w:pos="3560"/>
        </w:tabs>
        <w:autoSpaceDE/>
        <w:autoSpaceDN/>
        <w:spacing w:line="301" w:lineRule="auto"/>
        <w:ind w:left="3560" w:right="880" w:hanging="466"/>
        <w:rPr>
          <w:rFonts w:ascii="Arial" w:eastAsia="Arial" w:hAnsi="Arial"/>
          <w:color w:val="222222"/>
          <w:sz w:val="17"/>
        </w:rPr>
      </w:pPr>
      <w:hyperlink r:id="rId105" w:history="1">
        <w:r w:rsidR="00760D48">
          <w:rPr>
            <w:rFonts w:ascii="Arial" w:eastAsia="Arial" w:hAnsi="Arial"/>
            <w:color w:val="222222"/>
            <w:sz w:val="17"/>
          </w:rPr>
          <w:t>Mehilli J, Kastrati A, Byrne RA, et al.: Paclitaxel- versus sirolimus-eluting stents for</w:t>
        </w:r>
      </w:hyperlink>
      <w:r w:rsidR="00760D48">
        <w:rPr>
          <w:rFonts w:ascii="Arial" w:eastAsia="Arial" w:hAnsi="Arial"/>
          <w:color w:val="222222"/>
          <w:sz w:val="17"/>
        </w:rPr>
        <w:t xml:space="preserve"> </w:t>
      </w:r>
      <w:hyperlink r:id="rId106" w:history="1">
        <w:r w:rsidR="00760D48">
          <w:rPr>
            <w:rFonts w:ascii="Arial" w:eastAsia="Arial" w:hAnsi="Arial"/>
            <w:color w:val="222222"/>
            <w:sz w:val="17"/>
          </w:rPr>
          <w:t>unprotected left main coronary artery disease. J Am Coll Cardiol. 2009, 53:1760-68.</w:t>
        </w:r>
      </w:hyperlink>
    </w:p>
    <w:p w:rsidR="00760D48" w:rsidRDefault="00760D48" w:rsidP="00760D48">
      <w:pPr>
        <w:spacing w:line="1" w:lineRule="exact"/>
        <w:rPr>
          <w:rFonts w:ascii="Arial" w:eastAsia="Arial" w:hAnsi="Arial"/>
          <w:color w:val="222222"/>
          <w:sz w:val="17"/>
        </w:rPr>
      </w:pPr>
    </w:p>
    <w:p w:rsidR="00760D48" w:rsidRDefault="001D2EC7" w:rsidP="00760D48">
      <w:pPr>
        <w:spacing w:line="0" w:lineRule="atLeast"/>
        <w:ind w:left="3560"/>
        <w:rPr>
          <w:rFonts w:ascii="Arial" w:eastAsia="Arial" w:hAnsi="Arial"/>
          <w:color w:val="15BCA4"/>
          <w:sz w:val="17"/>
        </w:rPr>
      </w:pPr>
      <w:hyperlink r:id="rId107" w:history="1">
        <w:r w:rsidR="00760D48">
          <w:rPr>
            <w:rFonts w:ascii="Arial" w:eastAsia="Arial" w:hAnsi="Arial"/>
            <w:color w:val="15BCA4"/>
            <w:sz w:val="17"/>
          </w:rPr>
          <w:t>10.1016/j.jacc.2009.01.035</w:t>
        </w:r>
      </w:hyperlink>
    </w:p>
    <w:p w:rsidR="00760D48" w:rsidRDefault="00760D48" w:rsidP="00760D48">
      <w:pPr>
        <w:spacing w:line="50" w:lineRule="exact"/>
        <w:rPr>
          <w:rFonts w:ascii="Arial" w:eastAsia="Arial" w:hAnsi="Arial"/>
          <w:color w:val="15BCA4"/>
          <w:sz w:val="17"/>
        </w:rPr>
      </w:pPr>
    </w:p>
    <w:p w:rsidR="00760D48" w:rsidRDefault="001D2EC7" w:rsidP="00760D48">
      <w:pPr>
        <w:widowControl/>
        <w:numPr>
          <w:ilvl w:val="0"/>
          <w:numId w:val="8"/>
        </w:numPr>
        <w:tabs>
          <w:tab w:val="left" w:pos="3560"/>
        </w:tabs>
        <w:autoSpaceDE/>
        <w:autoSpaceDN/>
        <w:spacing w:line="301" w:lineRule="auto"/>
        <w:ind w:left="3560" w:right="260" w:hanging="466"/>
        <w:rPr>
          <w:rFonts w:ascii="Arial" w:eastAsia="Arial" w:hAnsi="Arial"/>
          <w:color w:val="222222"/>
          <w:sz w:val="17"/>
        </w:rPr>
      </w:pPr>
      <w:hyperlink r:id="rId108" w:history="1">
        <w:r w:rsidR="00760D48">
          <w:rPr>
            <w:rFonts w:ascii="Arial" w:eastAsia="Arial" w:hAnsi="Arial"/>
            <w:color w:val="222222"/>
            <w:sz w:val="17"/>
          </w:rPr>
          <w:t>Mehilli J, Richardt G, Valgimigli M, et al.: Zotarolimus- versus everolimus-eluting stents for</w:t>
        </w:r>
      </w:hyperlink>
      <w:r w:rsidR="00760D48">
        <w:rPr>
          <w:rFonts w:ascii="Arial" w:eastAsia="Arial" w:hAnsi="Arial"/>
          <w:color w:val="222222"/>
          <w:sz w:val="17"/>
        </w:rPr>
        <w:t xml:space="preserve"> </w:t>
      </w:r>
      <w:hyperlink r:id="rId109" w:history="1">
        <w:r w:rsidR="00760D48">
          <w:rPr>
            <w:rFonts w:ascii="Arial" w:eastAsia="Arial" w:hAnsi="Arial"/>
            <w:color w:val="222222"/>
            <w:sz w:val="17"/>
          </w:rPr>
          <w:t>unprotected left main coronary artery disease. J Am Coll Cardiol. 2013, 62:2075-82.</w:t>
        </w:r>
      </w:hyperlink>
    </w:p>
    <w:p w:rsidR="00760D48" w:rsidRDefault="00760D48" w:rsidP="00760D48">
      <w:pPr>
        <w:spacing w:line="1" w:lineRule="exact"/>
        <w:rPr>
          <w:rFonts w:ascii="Arial" w:eastAsia="Arial" w:hAnsi="Arial"/>
          <w:color w:val="222222"/>
          <w:sz w:val="17"/>
        </w:rPr>
      </w:pPr>
    </w:p>
    <w:p w:rsidR="00760D48" w:rsidRDefault="001D2EC7" w:rsidP="00760D48">
      <w:pPr>
        <w:spacing w:line="0" w:lineRule="atLeast"/>
        <w:ind w:left="3560"/>
        <w:rPr>
          <w:rFonts w:ascii="Arial" w:eastAsia="Arial" w:hAnsi="Arial"/>
          <w:color w:val="15BCA4"/>
          <w:sz w:val="17"/>
        </w:rPr>
      </w:pPr>
      <w:hyperlink r:id="rId110" w:history="1">
        <w:r w:rsidR="00760D48">
          <w:rPr>
            <w:rFonts w:ascii="Arial" w:eastAsia="Arial" w:hAnsi="Arial"/>
            <w:color w:val="15BCA4"/>
            <w:sz w:val="17"/>
          </w:rPr>
          <w:t>10.1016/j.jacc.2013.07.044</w:t>
        </w:r>
      </w:hyperlink>
    </w:p>
    <w:p w:rsidR="00760D48" w:rsidRDefault="00760D48" w:rsidP="00760D48">
      <w:pPr>
        <w:spacing w:line="50" w:lineRule="exact"/>
        <w:rPr>
          <w:rFonts w:ascii="Arial" w:eastAsia="Arial" w:hAnsi="Arial"/>
          <w:color w:val="15BCA4"/>
          <w:sz w:val="17"/>
        </w:rPr>
      </w:pPr>
    </w:p>
    <w:p w:rsidR="00760D48" w:rsidRDefault="001D2EC7" w:rsidP="00760D48">
      <w:pPr>
        <w:widowControl/>
        <w:numPr>
          <w:ilvl w:val="0"/>
          <w:numId w:val="8"/>
        </w:numPr>
        <w:tabs>
          <w:tab w:val="left" w:pos="3560"/>
        </w:tabs>
        <w:autoSpaceDE/>
        <w:autoSpaceDN/>
        <w:spacing w:line="315" w:lineRule="auto"/>
        <w:ind w:left="3560" w:right="300" w:hanging="466"/>
        <w:rPr>
          <w:rFonts w:ascii="Arial" w:eastAsia="Arial" w:hAnsi="Arial"/>
          <w:color w:val="222222"/>
          <w:sz w:val="17"/>
        </w:rPr>
      </w:pPr>
      <w:hyperlink r:id="rId111" w:history="1">
        <w:r w:rsidR="00760D48">
          <w:rPr>
            <w:rFonts w:ascii="Arial" w:eastAsia="Arial" w:hAnsi="Arial"/>
            <w:color w:val="222222"/>
            <w:sz w:val="17"/>
          </w:rPr>
          <w:t>Park SJ, Kim YH, Park DW, et al.: Impact of intravascular ultrasound guidance on long-term</w:t>
        </w:r>
      </w:hyperlink>
      <w:r w:rsidR="00760D48">
        <w:rPr>
          <w:rFonts w:ascii="Arial" w:eastAsia="Arial" w:hAnsi="Arial"/>
          <w:color w:val="222222"/>
          <w:sz w:val="17"/>
        </w:rPr>
        <w:t xml:space="preserve"> </w:t>
      </w:r>
      <w:hyperlink r:id="rId112" w:history="1">
        <w:r w:rsidR="00760D48">
          <w:rPr>
            <w:rFonts w:ascii="Arial" w:eastAsia="Arial" w:hAnsi="Arial"/>
            <w:color w:val="222222"/>
            <w:sz w:val="17"/>
          </w:rPr>
          <w:t>mortality in stenting for unprotected left main coronary artery stenosis. Circ Cardiovasc</w:t>
        </w:r>
      </w:hyperlink>
      <w:r w:rsidR="00760D48">
        <w:rPr>
          <w:rFonts w:ascii="Arial" w:eastAsia="Arial" w:hAnsi="Arial"/>
          <w:color w:val="222222"/>
          <w:sz w:val="17"/>
        </w:rPr>
        <w:t xml:space="preserve"> Interv. 2009, 2:167-77. </w:t>
      </w:r>
      <w:hyperlink r:id="rId113" w:history="1">
        <w:r w:rsidR="00760D48">
          <w:rPr>
            <w:rFonts w:ascii="Arial" w:eastAsia="Arial" w:hAnsi="Arial"/>
            <w:color w:val="15BCA4"/>
            <w:sz w:val="17"/>
          </w:rPr>
          <w:t>10.1161/CIRCINTERVENTIONS.108.799494</w:t>
        </w:r>
      </w:hyperlink>
    </w:p>
    <w:p w:rsidR="00760D48" w:rsidRDefault="00760D48" w:rsidP="00760D48">
      <w:pPr>
        <w:spacing w:line="20" w:lineRule="exact"/>
        <w:rPr>
          <w:rFonts w:ascii="Arial" w:eastAsia="Arial" w:hAnsi="Arial"/>
          <w:color w:val="222222"/>
          <w:sz w:val="17"/>
        </w:rPr>
      </w:pPr>
      <w:r>
        <w:rPr>
          <w:rFonts w:ascii="Arial" w:eastAsia="Arial" w:hAnsi="Arial"/>
          <w:noProof/>
          <w:color w:val="222222"/>
          <w:sz w:val="17"/>
          <w:lang w:bidi="ar-SA"/>
        </w:rPr>
        <w:drawing>
          <wp:anchor distT="0" distB="0" distL="114300" distR="114300" simplePos="0" relativeHeight="251702272" behindDoc="1" locked="0" layoutInCell="1" allowOverlap="1">
            <wp:simplePos x="0" y="0"/>
            <wp:positionH relativeFrom="column">
              <wp:posOffset>3810</wp:posOffset>
            </wp:positionH>
            <wp:positionV relativeFrom="paragraph">
              <wp:posOffset>6157595</wp:posOffset>
            </wp:positionV>
            <wp:extent cx="6827520" cy="95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7520" cy="952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 w:lineRule="exact"/>
        <w:rPr>
          <w:rFonts w:ascii="Arial" w:eastAsia="Arial" w:hAnsi="Arial"/>
          <w:color w:val="222222"/>
          <w:sz w:val="17"/>
        </w:rPr>
        <w:sectPr w:rsidR="00760D48">
          <w:pgSz w:w="11900" w:h="16840"/>
          <w:pgMar w:top="1146" w:right="580" w:bottom="212" w:left="560" w:header="0" w:footer="0" w:gutter="0"/>
          <w:cols w:space="0" w:equalWidth="0">
            <w:col w:w="10760"/>
          </w:cols>
          <w:docGrid w:linePitch="360"/>
        </w:sect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200" w:lineRule="exact"/>
        <w:rPr>
          <w:rFonts w:ascii="Arial" w:eastAsia="Arial" w:hAnsi="Arial"/>
          <w:color w:val="222222"/>
          <w:sz w:val="17"/>
        </w:rPr>
      </w:pPr>
    </w:p>
    <w:p w:rsidR="00760D48" w:rsidRDefault="00760D48" w:rsidP="00760D48">
      <w:pPr>
        <w:spacing w:line="374" w:lineRule="exact"/>
        <w:rPr>
          <w:rFonts w:ascii="Arial" w:eastAsia="Arial" w:hAnsi="Arial"/>
          <w:color w:val="222222"/>
          <w:sz w:val="17"/>
        </w:rPr>
      </w:pPr>
    </w:p>
    <w:p w:rsidR="00760D48" w:rsidRDefault="00760D48" w:rsidP="00760D48">
      <w:pPr>
        <w:tabs>
          <w:tab w:val="left" w:pos="10140"/>
        </w:tabs>
        <w:spacing w:line="0" w:lineRule="atLeast"/>
        <w:rPr>
          <w:rFonts w:ascii="Arial" w:eastAsia="Arial" w:hAnsi="Arial"/>
          <w:sz w:val="16"/>
        </w:rPr>
      </w:pPr>
      <w:r>
        <w:rPr>
          <w:rFonts w:ascii="Arial" w:eastAsia="Arial" w:hAnsi="Arial"/>
          <w:sz w:val="17"/>
        </w:rPr>
        <w:t>2018 Mahmood et al. Cureus 10(6): e2857. DOI 10.7759/cureus.2857</w:t>
      </w:r>
      <w:r>
        <w:rPr>
          <w:rFonts w:ascii="Times New Roman" w:eastAsia="Times New Roman" w:hAnsi="Times New Roman"/>
        </w:rPr>
        <w:tab/>
      </w:r>
      <w:r>
        <w:rPr>
          <w:rFonts w:ascii="Arial" w:eastAsia="Arial" w:hAnsi="Arial"/>
          <w:sz w:val="16"/>
        </w:rPr>
        <w:t>10 of 10</w:t>
      </w:r>
    </w:p>
    <w:p w:rsidR="00760D48" w:rsidRDefault="00760D48" w:rsidP="00760D48">
      <w:pPr>
        <w:tabs>
          <w:tab w:val="left" w:pos="10140"/>
        </w:tabs>
        <w:spacing w:line="0" w:lineRule="atLeast"/>
        <w:rPr>
          <w:rFonts w:ascii="Arial" w:eastAsia="Arial" w:hAnsi="Arial"/>
          <w:sz w:val="16"/>
        </w:rPr>
      </w:pPr>
    </w:p>
    <w:p w:rsidR="00760D48" w:rsidRDefault="00760D48" w:rsidP="00760D48">
      <w:pPr>
        <w:tabs>
          <w:tab w:val="left" w:pos="10140"/>
        </w:tabs>
        <w:spacing w:line="0" w:lineRule="atLeast"/>
        <w:rPr>
          <w:rFonts w:ascii="Arial" w:eastAsia="Arial" w:hAnsi="Arial"/>
          <w:sz w:val="16"/>
        </w:rPr>
      </w:pPr>
    </w:p>
    <w:p w:rsidR="00760D48" w:rsidRDefault="00760D48" w:rsidP="00760D48">
      <w:pPr>
        <w:tabs>
          <w:tab w:val="left" w:pos="10140"/>
        </w:tabs>
        <w:spacing w:line="0" w:lineRule="atLeast"/>
        <w:rPr>
          <w:rFonts w:ascii="Arial" w:eastAsia="Arial" w:hAnsi="Arial"/>
          <w:sz w:val="16"/>
        </w:rPr>
      </w:pPr>
    </w:p>
    <w:p w:rsidR="00760D48" w:rsidRDefault="00760D48" w:rsidP="00760D48">
      <w:pPr>
        <w:spacing w:line="0" w:lineRule="atLeast"/>
        <w:rPr>
          <w:rFonts w:ascii="Arial" w:eastAsia="Arial" w:hAnsi="Arial"/>
          <w:color w:val="3874A1"/>
          <w:sz w:val="12"/>
        </w:rPr>
      </w:pPr>
      <w:r>
        <w:rPr>
          <w:noProof/>
          <w:lang w:bidi="ar-SA"/>
        </w:rPr>
        <w:drawing>
          <wp:anchor distT="0" distB="0" distL="114300" distR="114300" simplePos="0" relativeHeight="251703296" behindDoc="1" locked="0" layoutInCell="1" allowOverlap="1">
            <wp:simplePos x="0" y="0"/>
            <wp:positionH relativeFrom="page">
              <wp:posOffset>6260465</wp:posOffset>
            </wp:positionH>
            <wp:positionV relativeFrom="page">
              <wp:posOffset>421005</wp:posOffset>
            </wp:positionV>
            <wp:extent cx="908685" cy="11811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08685" cy="118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12"/>
        </w:rPr>
        <w:t xml:space="preserve">See discussions, stats, and author profiles for this publication at: </w:t>
      </w:r>
      <w:hyperlink r:id="rId115" w:history="1">
        <w:r>
          <w:rPr>
            <w:rFonts w:ascii="Arial" w:eastAsia="Arial" w:hAnsi="Arial"/>
            <w:color w:val="3874A1"/>
            <w:sz w:val="12"/>
          </w:rPr>
          <w:t>https://www.researchgate.net/publication/344609534</w:t>
        </w:r>
      </w:hyperlink>
    </w:p>
    <w:p w:rsidR="00760D48" w:rsidRDefault="00760D48" w:rsidP="00760D48">
      <w:pPr>
        <w:spacing w:line="241" w:lineRule="exact"/>
        <w:rPr>
          <w:rFonts w:ascii="Times New Roman" w:eastAsia="Times New Roman" w:hAnsi="Times New Roman"/>
          <w:sz w:val="24"/>
        </w:rPr>
      </w:pPr>
    </w:p>
    <w:p w:rsidR="00760D48" w:rsidRDefault="001D2EC7" w:rsidP="00760D48">
      <w:pPr>
        <w:spacing w:line="376" w:lineRule="auto"/>
        <w:rPr>
          <w:rFonts w:ascii="Arial" w:eastAsia="Arial" w:hAnsi="Arial"/>
          <w:sz w:val="27"/>
        </w:rPr>
      </w:pPr>
      <w:hyperlink r:id="rId116" w:history="1">
        <w:r w:rsidR="00760D48">
          <w:rPr>
            <w:rFonts w:ascii="Arial" w:eastAsia="Arial" w:hAnsi="Arial"/>
            <w:sz w:val="27"/>
          </w:rPr>
          <w:t>Prognostic significance of serum potassium level for major adverse cardiac</w:t>
        </w:r>
      </w:hyperlink>
      <w:r w:rsidR="00760D48">
        <w:rPr>
          <w:rFonts w:ascii="Arial" w:eastAsia="Arial" w:hAnsi="Arial"/>
          <w:sz w:val="27"/>
        </w:rPr>
        <w:t xml:space="preserve"> </w:t>
      </w:r>
      <w:hyperlink r:id="rId117" w:history="1">
        <w:r w:rsidR="00760D48">
          <w:rPr>
            <w:rFonts w:ascii="Arial" w:eastAsia="Arial" w:hAnsi="Arial"/>
            <w:sz w:val="27"/>
          </w:rPr>
          <w:t>events and death in patients with coronary atherosclerotic disease</w:t>
        </w:r>
      </w:hyperlink>
    </w:p>
    <w:p w:rsidR="00760D48" w:rsidRDefault="00760D48" w:rsidP="00760D48">
      <w:pPr>
        <w:spacing w:line="105" w:lineRule="exact"/>
        <w:rPr>
          <w:rFonts w:ascii="Times New Roman" w:eastAsia="Times New Roman" w:hAnsi="Times New Roman"/>
        </w:rPr>
      </w:pPr>
    </w:p>
    <w:p w:rsidR="00760D48" w:rsidRDefault="00760D48" w:rsidP="00760D48">
      <w:pPr>
        <w:spacing w:line="0" w:lineRule="atLeast"/>
        <w:rPr>
          <w:rFonts w:ascii="Arial" w:eastAsia="Arial" w:hAnsi="Arial"/>
          <w:color w:val="333333"/>
          <w:sz w:val="13"/>
        </w:rPr>
      </w:pPr>
      <w:r>
        <w:rPr>
          <w:rFonts w:ascii="Arial" w:eastAsia="Arial" w:hAnsi="Arial"/>
          <w:b/>
          <w:color w:val="222222"/>
          <w:sz w:val="13"/>
        </w:rPr>
        <w:t xml:space="preserve">Article </w:t>
      </w:r>
      <w:r>
        <w:rPr>
          <w:rFonts w:ascii="Arial" w:eastAsia="Arial" w:hAnsi="Arial"/>
          <w:i/>
          <w:color w:val="606060"/>
          <w:sz w:val="13"/>
        </w:rPr>
        <w:t>in</w:t>
      </w:r>
      <w:r>
        <w:rPr>
          <w:rFonts w:ascii="Arial" w:eastAsia="Arial" w:hAnsi="Arial"/>
          <w:b/>
          <w:color w:val="222222"/>
          <w:sz w:val="13"/>
        </w:rPr>
        <w:t xml:space="preserve"> </w:t>
      </w:r>
      <w:r>
        <w:rPr>
          <w:rFonts w:ascii="Arial" w:eastAsia="Arial" w:hAnsi="Arial"/>
          <w:color w:val="333333"/>
          <w:sz w:val="13"/>
        </w:rPr>
        <w:t>Acta Angiologica · October 2020</w:t>
      </w:r>
    </w:p>
    <w:p w:rsidR="00760D48" w:rsidRDefault="00760D48" w:rsidP="00760D48">
      <w:pPr>
        <w:spacing w:line="89" w:lineRule="exact"/>
        <w:rPr>
          <w:rFonts w:ascii="Times New Roman" w:eastAsia="Times New Roman" w:hAnsi="Times New Roman"/>
        </w:rPr>
      </w:pPr>
    </w:p>
    <w:p w:rsidR="00760D48" w:rsidRDefault="00760D48" w:rsidP="00760D48">
      <w:pPr>
        <w:spacing w:line="0" w:lineRule="atLeast"/>
        <w:rPr>
          <w:rFonts w:ascii="Arial" w:eastAsia="Arial" w:hAnsi="Arial"/>
          <w:color w:val="555555"/>
          <w:sz w:val="9"/>
        </w:rPr>
      </w:pPr>
      <w:r>
        <w:rPr>
          <w:rFonts w:ascii="Arial" w:eastAsia="Arial" w:hAnsi="Arial"/>
          <w:color w:val="555555"/>
          <w:sz w:val="9"/>
        </w:rPr>
        <w:t>DOI: 10.5603/AA.2020.0010</w:t>
      </w:r>
    </w:p>
    <w:p w:rsidR="00760D48" w:rsidRDefault="00760D48" w:rsidP="00760D48">
      <w:pPr>
        <w:spacing w:line="20" w:lineRule="exact"/>
        <w:rPr>
          <w:rFonts w:ascii="Times New Roman" w:eastAsia="Times New Roman" w:hAnsi="Times New Roman"/>
        </w:rPr>
      </w:pPr>
      <w:r>
        <w:rPr>
          <w:rFonts w:ascii="Arial" w:eastAsia="Arial" w:hAnsi="Arial"/>
          <w:noProof/>
          <w:color w:val="555555"/>
          <w:sz w:val="9"/>
          <w:lang w:bidi="ar-SA"/>
        </w:rPr>
        <w:drawing>
          <wp:anchor distT="0" distB="0" distL="114300" distR="114300" simplePos="0" relativeHeight="251704320" behindDoc="1" locked="0" layoutInCell="1" allowOverlap="1">
            <wp:simplePos x="0" y="0"/>
            <wp:positionH relativeFrom="column">
              <wp:posOffset>-2540</wp:posOffset>
            </wp:positionH>
            <wp:positionV relativeFrom="paragraph">
              <wp:posOffset>99695</wp:posOffset>
            </wp:positionV>
            <wp:extent cx="6218555" cy="82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18555" cy="825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48" w:lineRule="exact"/>
        <w:rPr>
          <w:rFonts w:ascii="Times New Roman" w:eastAsia="Times New Roman" w:hAnsi="Times New Roman"/>
        </w:rPr>
      </w:pPr>
    </w:p>
    <w:p w:rsidR="00760D48" w:rsidRDefault="00760D48" w:rsidP="00760D48">
      <w:pPr>
        <w:tabs>
          <w:tab w:val="left" w:pos="5140"/>
        </w:tabs>
        <w:spacing w:line="0" w:lineRule="atLeast"/>
        <w:rPr>
          <w:rFonts w:ascii="Arial" w:eastAsia="Arial" w:hAnsi="Arial"/>
          <w:color w:val="333333"/>
          <w:sz w:val="11"/>
        </w:rPr>
      </w:pPr>
      <w:r>
        <w:rPr>
          <w:rFonts w:ascii="Arial" w:eastAsia="Arial" w:hAnsi="Arial"/>
          <w:color w:val="333333"/>
          <w:sz w:val="11"/>
        </w:rPr>
        <w:t>CITATIONS</w:t>
      </w:r>
      <w:r>
        <w:rPr>
          <w:rFonts w:ascii="Times New Roman" w:eastAsia="Times New Roman" w:hAnsi="Times New Roman"/>
        </w:rPr>
        <w:tab/>
      </w:r>
      <w:r>
        <w:rPr>
          <w:rFonts w:ascii="Arial" w:eastAsia="Arial" w:hAnsi="Arial"/>
          <w:color w:val="333333"/>
          <w:sz w:val="11"/>
        </w:rPr>
        <w:t>READS</w:t>
      </w:r>
    </w:p>
    <w:p w:rsidR="00760D48" w:rsidRDefault="00760D48" w:rsidP="00760D48">
      <w:pPr>
        <w:spacing w:line="35" w:lineRule="exact"/>
        <w:rPr>
          <w:rFonts w:ascii="Times New Roman" w:eastAsia="Times New Roman" w:hAnsi="Times New Roman"/>
        </w:rPr>
      </w:pPr>
    </w:p>
    <w:p w:rsidR="00760D48" w:rsidRDefault="00760D48" w:rsidP="00760D48">
      <w:pPr>
        <w:tabs>
          <w:tab w:val="left" w:pos="5140"/>
        </w:tabs>
        <w:spacing w:line="0" w:lineRule="atLeast"/>
        <w:rPr>
          <w:rFonts w:ascii="Arial" w:eastAsia="Arial" w:hAnsi="Arial"/>
          <w:sz w:val="16"/>
        </w:rPr>
      </w:pPr>
      <w:r>
        <w:rPr>
          <w:rFonts w:ascii="Arial" w:eastAsia="Arial" w:hAnsi="Arial"/>
          <w:sz w:val="16"/>
        </w:rPr>
        <w:t>0</w:t>
      </w:r>
      <w:r>
        <w:rPr>
          <w:rFonts w:ascii="Times New Roman" w:eastAsia="Times New Roman" w:hAnsi="Times New Roman"/>
        </w:rPr>
        <w:tab/>
      </w:r>
      <w:r>
        <w:rPr>
          <w:rFonts w:ascii="Arial" w:eastAsia="Arial" w:hAnsi="Arial"/>
          <w:sz w:val="16"/>
        </w:rPr>
        <w:t>58</w:t>
      </w:r>
    </w:p>
    <w:p w:rsidR="00760D48" w:rsidRDefault="00760D48" w:rsidP="00760D48">
      <w:pPr>
        <w:spacing w:line="211" w:lineRule="exact"/>
        <w:rPr>
          <w:rFonts w:ascii="Times New Roman" w:eastAsia="Times New Roman" w:hAnsi="Times New Roman"/>
        </w:rPr>
      </w:pPr>
    </w:p>
    <w:p w:rsidR="00760D48" w:rsidRDefault="00760D48" w:rsidP="00760D48">
      <w:pPr>
        <w:spacing w:line="0" w:lineRule="atLeast"/>
        <w:rPr>
          <w:rFonts w:ascii="Arial" w:eastAsia="Arial" w:hAnsi="Arial"/>
          <w:color w:val="333333"/>
          <w:sz w:val="13"/>
        </w:rPr>
      </w:pPr>
      <w:r>
        <w:rPr>
          <w:rFonts w:ascii="Arial" w:eastAsia="Arial" w:hAnsi="Arial"/>
          <w:b/>
          <w:color w:val="222222"/>
          <w:sz w:val="13"/>
        </w:rPr>
        <w:t>7 authors</w:t>
      </w:r>
      <w:r>
        <w:rPr>
          <w:rFonts w:ascii="Arial" w:eastAsia="Arial" w:hAnsi="Arial"/>
          <w:color w:val="333333"/>
          <w:sz w:val="13"/>
        </w:rPr>
        <w:t>, including:</w:t>
      </w:r>
    </w:p>
    <w:p w:rsidR="00760D48" w:rsidRDefault="00760D48" w:rsidP="00760D48">
      <w:pPr>
        <w:spacing w:line="211" w:lineRule="exact"/>
        <w:rPr>
          <w:rFonts w:ascii="Times New Roman" w:eastAsia="Times New Roman" w:hAnsi="Times New Roman"/>
        </w:rPr>
      </w:pPr>
    </w:p>
    <w:p w:rsidR="00760D48" w:rsidRDefault="001D2EC7" w:rsidP="00760D48">
      <w:pPr>
        <w:tabs>
          <w:tab w:val="left" w:pos="5660"/>
        </w:tabs>
        <w:spacing w:line="0" w:lineRule="atLeast"/>
        <w:ind w:left="520"/>
        <w:rPr>
          <w:rFonts w:ascii="Arial" w:eastAsia="Arial" w:hAnsi="Arial"/>
          <w:color w:val="3874A1"/>
          <w:sz w:val="12"/>
        </w:rPr>
      </w:pPr>
      <w:hyperlink r:id="rId119" w:history="1">
        <w:r w:rsidR="00760D48">
          <w:rPr>
            <w:rFonts w:ascii="Arial" w:eastAsia="Arial" w:hAnsi="Arial"/>
            <w:color w:val="3874A1"/>
            <w:sz w:val="13"/>
          </w:rPr>
          <w:t>Afrasyab Altaf</w:t>
        </w:r>
      </w:hyperlink>
      <w:r w:rsidR="00760D48">
        <w:rPr>
          <w:rFonts w:ascii="Arial" w:eastAsia="Arial" w:hAnsi="Arial"/>
          <w:color w:val="3874A1"/>
          <w:sz w:val="13"/>
        </w:rPr>
        <w:tab/>
      </w:r>
      <w:hyperlink r:id="rId120" w:history="1">
        <w:r w:rsidR="00760D48">
          <w:rPr>
            <w:rFonts w:ascii="Arial" w:eastAsia="Arial" w:hAnsi="Arial"/>
            <w:color w:val="3874A1"/>
            <w:sz w:val="12"/>
          </w:rPr>
          <w:t>Momin Salahuddin</w:t>
        </w:r>
      </w:hyperlink>
    </w:p>
    <w:p w:rsidR="00760D48" w:rsidRDefault="00760D48" w:rsidP="00760D48">
      <w:pPr>
        <w:spacing w:line="20" w:lineRule="exact"/>
        <w:rPr>
          <w:rFonts w:ascii="Times New Roman" w:eastAsia="Times New Roman" w:hAnsi="Times New Roman"/>
        </w:rPr>
      </w:pPr>
      <w:r>
        <w:rPr>
          <w:rFonts w:ascii="Arial" w:eastAsia="Arial" w:hAnsi="Arial"/>
          <w:noProof/>
          <w:color w:val="3874A1"/>
          <w:sz w:val="12"/>
          <w:lang w:bidi="ar-SA"/>
        </w:rPr>
        <w:drawing>
          <wp:anchor distT="0" distB="0" distL="114300" distR="114300" simplePos="0" relativeHeight="251705344" behindDoc="1" locked="0" layoutInCell="1" allowOverlap="1">
            <wp:simplePos x="0" y="0"/>
            <wp:positionH relativeFrom="column">
              <wp:posOffset>-2540</wp:posOffset>
            </wp:positionH>
            <wp:positionV relativeFrom="paragraph">
              <wp:posOffset>-90170</wp:posOffset>
            </wp:positionV>
            <wp:extent cx="252730" cy="2527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874A1"/>
          <w:sz w:val="12"/>
          <w:lang w:bidi="ar-SA"/>
        </w:rPr>
        <w:drawing>
          <wp:anchor distT="0" distB="0" distL="114300" distR="114300" simplePos="0" relativeHeight="251706368" behindDoc="1" locked="0" layoutInCell="1" allowOverlap="1">
            <wp:simplePos x="0" y="0"/>
            <wp:positionH relativeFrom="column">
              <wp:posOffset>3270250</wp:posOffset>
            </wp:positionH>
            <wp:positionV relativeFrom="paragraph">
              <wp:posOffset>-90170</wp:posOffset>
            </wp:positionV>
            <wp:extent cx="252730" cy="2527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43" w:lineRule="exact"/>
        <w:rPr>
          <w:rFonts w:ascii="Times New Roman" w:eastAsia="Times New Roman" w:hAnsi="Times New Roman"/>
        </w:rPr>
      </w:pPr>
    </w:p>
    <w:p w:rsidR="00760D48" w:rsidRDefault="001D2EC7" w:rsidP="00760D48">
      <w:pPr>
        <w:tabs>
          <w:tab w:val="left" w:pos="5660"/>
        </w:tabs>
        <w:spacing w:line="0" w:lineRule="atLeast"/>
        <w:ind w:left="520"/>
        <w:rPr>
          <w:rFonts w:ascii="Arial" w:eastAsia="Arial" w:hAnsi="Arial"/>
          <w:color w:val="222222"/>
          <w:sz w:val="12"/>
        </w:rPr>
      </w:pPr>
      <w:hyperlink r:id="rId123" w:history="1">
        <w:r w:rsidR="00760D48">
          <w:rPr>
            <w:rFonts w:ascii="Arial" w:eastAsia="Arial" w:hAnsi="Arial"/>
            <w:color w:val="222222"/>
            <w:sz w:val="13"/>
          </w:rPr>
          <w:t>Rehman Medical Institute</w:t>
        </w:r>
      </w:hyperlink>
      <w:r w:rsidR="00760D48">
        <w:rPr>
          <w:rFonts w:ascii="Arial" w:eastAsia="Arial" w:hAnsi="Arial"/>
          <w:color w:val="222222"/>
          <w:sz w:val="13"/>
        </w:rPr>
        <w:tab/>
      </w:r>
      <w:hyperlink r:id="rId124" w:history="1">
        <w:r w:rsidR="00760D48">
          <w:rPr>
            <w:rFonts w:ascii="Arial" w:eastAsia="Arial" w:hAnsi="Arial"/>
            <w:color w:val="222222"/>
            <w:sz w:val="12"/>
          </w:rPr>
          <w:t>Rehman Medical Institute</w:t>
        </w:r>
      </w:hyperlink>
    </w:p>
    <w:p w:rsidR="00760D48" w:rsidRDefault="00760D48" w:rsidP="00760D48">
      <w:pPr>
        <w:spacing w:line="99" w:lineRule="exact"/>
        <w:rPr>
          <w:rFonts w:ascii="Times New Roman" w:eastAsia="Times New Roman" w:hAnsi="Times New Roman"/>
        </w:rPr>
      </w:pPr>
    </w:p>
    <w:p w:rsidR="00760D48" w:rsidRDefault="00760D48" w:rsidP="00760D48">
      <w:pPr>
        <w:tabs>
          <w:tab w:val="left" w:pos="5660"/>
        </w:tabs>
        <w:spacing w:line="0" w:lineRule="atLeast"/>
        <w:ind w:left="520"/>
        <w:rPr>
          <w:rFonts w:ascii="Arial" w:eastAsia="Arial" w:hAnsi="Arial"/>
          <w:color w:val="333333"/>
          <w:sz w:val="9"/>
        </w:rPr>
      </w:pPr>
      <w:r>
        <w:rPr>
          <w:rFonts w:ascii="Arial" w:eastAsia="Arial" w:hAnsi="Arial"/>
          <w:b/>
          <w:sz w:val="12"/>
        </w:rPr>
        <w:t xml:space="preserve">25 </w:t>
      </w:r>
      <w:r>
        <w:rPr>
          <w:rFonts w:ascii="Arial" w:eastAsia="Arial" w:hAnsi="Arial"/>
          <w:color w:val="333333"/>
          <w:sz w:val="10"/>
        </w:rPr>
        <w:t>PUBLICATIONS</w:t>
      </w:r>
      <w:r>
        <w:rPr>
          <w:rFonts w:ascii="Arial" w:eastAsia="Arial" w:hAnsi="Arial"/>
          <w:b/>
          <w:sz w:val="12"/>
        </w:rPr>
        <w:t xml:space="preserve">  167 </w:t>
      </w:r>
      <w:r>
        <w:rPr>
          <w:rFonts w:ascii="Arial" w:eastAsia="Arial" w:hAnsi="Arial"/>
          <w:color w:val="333333"/>
          <w:sz w:val="10"/>
        </w:rPr>
        <w:t>CITATIONS</w:t>
      </w:r>
      <w:r>
        <w:rPr>
          <w:rFonts w:ascii="Times New Roman" w:eastAsia="Times New Roman" w:hAnsi="Times New Roman"/>
        </w:rPr>
        <w:tab/>
      </w:r>
      <w:r>
        <w:rPr>
          <w:rFonts w:ascii="Arial" w:eastAsia="Arial" w:hAnsi="Arial"/>
          <w:b/>
          <w:sz w:val="11"/>
        </w:rPr>
        <w:t xml:space="preserve">21 </w:t>
      </w:r>
      <w:r>
        <w:rPr>
          <w:rFonts w:ascii="Arial" w:eastAsia="Arial" w:hAnsi="Arial"/>
          <w:color w:val="333333"/>
          <w:sz w:val="9"/>
        </w:rPr>
        <w:t>PUBLICATIONS</w:t>
      </w:r>
      <w:r>
        <w:rPr>
          <w:rFonts w:ascii="Arial" w:eastAsia="Arial" w:hAnsi="Arial"/>
          <w:b/>
          <w:sz w:val="11"/>
        </w:rPr>
        <w:t xml:space="preserve">  27 </w:t>
      </w:r>
      <w:r>
        <w:rPr>
          <w:rFonts w:ascii="Arial" w:eastAsia="Arial" w:hAnsi="Arial"/>
          <w:color w:val="333333"/>
          <w:sz w:val="9"/>
        </w:rPr>
        <w:t>CITATIONS</w:t>
      </w:r>
    </w:p>
    <w:p w:rsidR="00760D48" w:rsidRDefault="00760D48" w:rsidP="00760D48">
      <w:pPr>
        <w:spacing w:line="20" w:lineRule="exact"/>
        <w:rPr>
          <w:rFonts w:ascii="Times New Roman" w:eastAsia="Times New Roman" w:hAnsi="Times New Roman"/>
        </w:rPr>
      </w:pPr>
      <w:r>
        <w:rPr>
          <w:rFonts w:ascii="Arial" w:eastAsia="Arial" w:hAnsi="Arial"/>
          <w:noProof/>
          <w:color w:val="333333"/>
          <w:sz w:val="9"/>
          <w:lang w:bidi="ar-SA"/>
        </w:rPr>
        <w:drawing>
          <wp:anchor distT="0" distB="0" distL="114300" distR="114300" simplePos="0" relativeHeight="251707392" behindDoc="1" locked="0" layoutInCell="1" allowOverlap="1">
            <wp:simplePos x="0" y="0"/>
            <wp:positionH relativeFrom="column">
              <wp:posOffset>325120</wp:posOffset>
            </wp:positionH>
            <wp:positionV relativeFrom="paragraph">
              <wp:posOffset>69215</wp:posOffset>
            </wp:positionV>
            <wp:extent cx="563880" cy="1936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3880" cy="1936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9"/>
          <w:lang w:bidi="ar-SA"/>
        </w:rPr>
        <w:drawing>
          <wp:anchor distT="0" distB="0" distL="114300" distR="114300" simplePos="0" relativeHeight="251708416" behindDoc="1" locked="0" layoutInCell="1" allowOverlap="1">
            <wp:simplePos x="0" y="0"/>
            <wp:positionH relativeFrom="column">
              <wp:posOffset>3598545</wp:posOffset>
            </wp:positionH>
            <wp:positionV relativeFrom="paragraph">
              <wp:posOffset>69215</wp:posOffset>
            </wp:positionV>
            <wp:extent cx="563880" cy="1936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3880" cy="19367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174" w:lineRule="exact"/>
        <w:rPr>
          <w:rFonts w:ascii="Times New Roman" w:eastAsia="Times New Roman" w:hAnsi="Times New Roman"/>
        </w:rPr>
      </w:pPr>
    </w:p>
    <w:p w:rsidR="00760D48" w:rsidRDefault="001D2EC7" w:rsidP="00760D48">
      <w:pPr>
        <w:tabs>
          <w:tab w:val="left" w:pos="5800"/>
        </w:tabs>
        <w:spacing w:line="0" w:lineRule="atLeast"/>
        <w:ind w:left="680"/>
        <w:rPr>
          <w:rFonts w:ascii="Arial" w:eastAsia="Arial" w:hAnsi="Arial"/>
          <w:color w:val="333333"/>
          <w:sz w:val="8"/>
        </w:rPr>
      </w:pPr>
      <w:hyperlink r:id="rId126" w:history="1">
        <w:r w:rsidR="00760D48">
          <w:rPr>
            <w:rFonts w:ascii="Arial" w:eastAsia="Arial" w:hAnsi="Arial"/>
            <w:color w:val="333333"/>
            <w:sz w:val="11"/>
          </w:rPr>
          <w:t>SEE PROFILE</w:t>
        </w:r>
      </w:hyperlink>
      <w:r w:rsidR="00760D48">
        <w:rPr>
          <w:rFonts w:ascii="Arial" w:eastAsia="Arial" w:hAnsi="Arial"/>
          <w:color w:val="333333"/>
          <w:sz w:val="11"/>
        </w:rPr>
        <w:tab/>
      </w:r>
      <w:hyperlink r:id="rId127" w:history="1">
        <w:r w:rsidR="00760D48">
          <w:rPr>
            <w:rFonts w:ascii="Arial" w:eastAsia="Arial" w:hAnsi="Arial"/>
            <w:color w:val="333333"/>
            <w:sz w:val="8"/>
          </w:rPr>
          <w:t>SEE PROFILE</w:t>
        </w:r>
      </w:hyperlink>
    </w:p>
    <w:p w:rsidR="00760D48" w:rsidRDefault="00760D48" w:rsidP="00760D48">
      <w:pPr>
        <w:spacing w:line="339" w:lineRule="exact"/>
        <w:rPr>
          <w:rFonts w:ascii="Times New Roman" w:eastAsia="Times New Roman" w:hAnsi="Times New Roman"/>
        </w:rPr>
      </w:pPr>
    </w:p>
    <w:p w:rsidR="00760D48" w:rsidRDefault="001D2EC7" w:rsidP="00760D48">
      <w:pPr>
        <w:tabs>
          <w:tab w:val="left" w:pos="5660"/>
        </w:tabs>
        <w:spacing w:line="0" w:lineRule="atLeast"/>
        <w:ind w:left="520"/>
        <w:rPr>
          <w:rFonts w:ascii="Arial" w:eastAsia="Arial" w:hAnsi="Arial"/>
          <w:color w:val="3874A1"/>
          <w:sz w:val="12"/>
        </w:rPr>
      </w:pPr>
      <w:hyperlink r:id="rId128" w:history="1">
        <w:r w:rsidR="00760D48">
          <w:rPr>
            <w:rFonts w:ascii="Arial" w:eastAsia="Arial" w:hAnsi="Arial"/>
            <w:color w:val="3874A1"/>
            <w:sz w:val="13"/>
          </w:rPr>
          <w:t>Momin Khan</w:t>
        </w:r>
      </w:hyperlink>
      <w:r w:rsidR="00760D48">
        <w:rPr>
          <w:rFonts w:ascii="Arial" w:eastAsia="Arial" w:hAnsi="Arial"/>
          <w:color w:val="3874A1"/>
          <w:sz w:val="13"/>
        </w:rPr>
        <w:tab/>
      </w:r>
      <w:hyperlink r:id="rId129" w:history="1">
        <w:r w:rsidR="00760D48">
          <w:rPr>
            <w:rFonts w:ascii="Arial" w:eastAsia="Arial" w:hAnsi="Arial"/>
            <w:color w:val="3874A1"/>
            <w:sz w:val="12"/>
          </w:rPr>
          <w:t>Hammad Shah</w:t>
        </w:r>
      </w:hyperlink>
    </w:p>
    <w:p w:rsidR="00760D48" w:rsidRDefault="00760D48" w:rsidP="00760D48">
      <w:pPr>
        <w:spacing w:line="20" w:lineRule="exact"/>
        <w:rPr>
          <w:rFonts w:ascii="Times New Roman" w:eastAsia="Times New Roman" w:hAnsi="Times New Roman"/>
        </w:rPr>
      </w:pPr>
      <w:r>
        <w:rPr>
          <w:rFonts w:ascii="Arial" w:eastAsia="Arial" w:hAnsi="Arial"/>
          <w:noProof/>
          <w:color w:val="3874A1"/>
          <w:sz w:val="12"/>
          <w:lang w:bidi="ar-SA"/>
        </w:rPr>
        <w:drawing>
          <wp:anchor distT="0" distB="0" distL="114300" distR="114300" simplePos="0" relativeHeight="251709440" behindDoc="1" locked="0" layoutInCell="1" allowOverlap="1">
            <wp:simplePos x="0" y="0"/>
            <wp:positionH relativeFrom="column">
              <wp:posOffset>-2540</wp:posOffset>
            </wp:positionH>
            <wp:positionV relativeFrom="paragraph">
              <wp:posOffset>-90170</wp:posOffset>
            </wp:positionV>
            <wp:extent cx="252730" cy="2527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874A1"/>
          <w:sz w:val="12"/>
          <w:lang w:bidi="ar-SA"/>
        </w:rPr>
        <w:drawing>
          <wp:anchor distT="0" distB="0" distL="114300" distR="114300" simplePos="0" relativeHeight="251710464" behindDoc="1" locked="0" layoutInCell="1" allowOverlap="1">
            <wp:simplePos x="0" y="0"/>
            <wp:positionH relativeFrom="column">
              <wp:posOffset>3270250</wp:posOffset>
            </wp:positionH>
            <wp:positionV relativeFrom="paragraph">
              <wp:posOffset>-90170</wp:posOffset>
            </wp:positionV>
            <wp:extent cx="252730" cy="2527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43" w:lineRule="exact"/>
        <w:rPr>
          <w:rFonts w:ascii="Times New Roman" w:eastAsia="Times New Roman" w:hAnsi="Times New Roman"/>
        </w:rPr>
      </w:pPr>
    </w:p>
    <w:p w:rsidR="00760D48" w:rsidRDefault="001D2EC7" w:rsidP="00760D48">
      <w:pPr>
        <w:tabs>
          <w:tab w:val="left" w:pos="5660"/>
        </w:tabs>
        <w:spacing w:line="0" w:lineRule="atLeast"/>
        <w:ind w:left="520"/>
        <w:rPr>
          <w:rFonts w:ascii="Arial" w:eastAsia="Arial" w:hAnsi="Arial"/>
          <w:color w:val="222222"/>
          <w:sz w:val="12"/>
        </w:rPr>
      </w:pPr>
      <w:hyperlink r:id="rId132" w:history="1">
        <w:r w:rsidR="00760D48">
          <w:rPr>
            <w:rFonts w:ascii="Arial" w:eastAsia="Arial" w:hAnsi="Arial"/>
            <w:color w:val="222222"/>
            <w:sz w:val="13"/>
          </w:rPr>
          <w:t>Rehman Medical Institute</w:t>
        </w:r>
      </w:hyperlink>
      <w:r w:rsidR="00760D48">
        <w:rPr>
          <w:rFonts w:ascii="Arial" w:eastAsia="Arial" w:hAnsi="Arial"/>
          <w:color w:val="222222"/>
          <w:sz w:val="13"/>
        </w:rPr>
        <w:tab/>
      </w:r>
      <w:hyperlink r:id="rId133" w:history="1">
        <w:r w:rsidR="00760D48">
          <w:rPr>
            <w:rFonts w:ascii="Arial" w:eastAsia="Arial" w:hAnsi="Arial"/>
            <w:color w:val="222222"/>
            <w:sz w:val="12"/>
          </w:rPr>
          <w:t>Rehman Medical Institute</w:t>
        </w:r>
      </w:hyperlink>
    </w:p>
    <w:p w:rsidR="00760D48" w:rsidRDefault="00760D48" w:rsidP="00760D48">
      <w:pPr>
        <w:spacing w:line="99" w:lineRule="exact"/>
        <w:rPr>
          <w:rFonts w:ascii="Times New Roman" w:eastAsia="Times New Roman" w:hAnsi="Times New Roman"/>
        </w:rPr>
      </w:pPr>
    </w:p>
    <w:p w:rsidR="00760D48" w:rsidRDefault="00760D48" w:rsidP="00760D48">
      <w:pPr>
        <w:tabs>
          <w:tab w:val="left" w:pos="5660"/>
        </w:tabs>
        <w:spacing w:line="0" w:lineRule="atLeast"/>
        <w:ind w:left="520"/>
        <w:rPr>
          <w:rFonts w:ascii="Arial" w:eastAsia="Arial" w:hAnsi="Arial"/>
          <w:color w:val="333333"/>
          <w:sz w:val="9"/>
        </w:rPr>
      </w:pPr>
      <w:r>
        <w:rPr>
          <w:rFonts w:ascii="Arial" w:eastAsia="Arial" w:hAnsi="Arial"/>
          <w:b/>
          <w:sz w:val="12"/>
        </w:rPr>
        <w:t xml:space="preserve">1 </w:t>
      </w:r>
      <w:r>
        <w:rPr>
          <w:rFonts w:ascii="Arial" w:eastAsia="Arial" w:hAnsi="Arial"/>
          <w:color w:val="333333"/>
          <w:sz w:val="10"/>
        </w:rPr>
        <w:t>PUBLICATION</w:t>
      </w:r>
      <w:r>
        <w:rPr>
          <w:rFonts w:ascii="Arial" w:eastAsia="Arial" w:hAnsi="Arial"/>
          <w:b/>
          <w:sz w:val="12"/>
        </w:rPr>
        <w:t xml:space="preserve">  0 </w:t>
      </w:r>
      <w:r>
        <w:rPr>
          <w:rFonts w:ascii="Arial" w:eastAsia="Arial" w:hAnsi="Arial"/>
          <w:color w:val="333333"/>
          <w:sz w:val="10"/>
        </w:rPr>
        <w:t>CITATIONS</w:t>
      </w:r>
      <w:r>
        <w:rPr>
          <w:rFonts w:ascii="Times New Roman" w:eastAsia="Times New Roman" w:hAnsi="Times New Roman"/>
        </w:rPr>
        <w:tab/>
      </w:r>
      <w:r>
        <w:rPr>
          <w:rFonts w:ascii="Arial" w:eastAsia="Arial" w:hAnsi="Arial"/>
          <w:b/>
          <w:sz w:val="11"/>
        </w:rPr>
        <w:t xml:space="preserve">22 </w:t>
      </w:r>
      <w:r>
        <w:rPr>
          <w:rFonts w:ascii="Arial" w:eastAsia="Arial" w:hAnsi="Arial"/>
          <w:color w:val="333333"/>
          <w:sz w:val="9"/>
        </w:rPr>
        <w:t>PUBLICATIONS</w:t>
      </w:r>
      <w:r>
        <w:rPr>
          <w:rFonts w:ascii="Arial" w:eastAsia="Arial" w:hAnsi="Arial"/>
          <w:b/>
          <w:sz w:val="11"/>
        </w:rPr>
        <w:t xml:space="preserve">  19 </w:t>
      </w:r>
      <w:r>
        <w:rPr>
          <w:rFonts w:ascii="Arial" w:eastAsia="Arial" w:hAnsi="Arial"/>
          <w:color w:val="333333"/>
          <w:sz w:val="9"/>
        </w:rPr>
        <w:t>CITATIONS</w:t>
      </w:r>
    </w:p>
    <w:p w:rsidR="00760D48" w:rsidRDefault="00760D48" w:rsidP="00760D48">
      <w:pPr>
        <w:spacing w:line="20" w:lineRule="exact"/>
        <w:rPr>
          <w:rFonts w:ascii="Times New Roman" w:eastAsia="Times New Roman" w:hAnsi="Times New Roman"/>
        </w:rPr>
      </w:pPr>
      <w:r>
        <w:rPr>
          <w:rFonts w:ascii="Arial" w:eastAsia="Arial" w:hAnsi="Arial"/>
          <w:noProof/>
          <w:color w:val="333333"/>
          <w:sz w:val="9"/>
          <w:lang w:bidi="ar-SA"/>
        </w:rPr>
        <w:drawing>
          <wp:anchor distT="0" distB="0" distL="114300" distR="114300" simplePos="0" relativeHeight="251711488" behindDoc="1" locked="0" layoutInCell="1" allowOverlap="1">
            <wp:simplePos x="0" y="0"/>
            <wp:positionH relativeFrom="column">
              <wp:posOffset>325120</wp:posOffset>
            </wp:positionH>
            <wp:positionV relativeFrom="paragraph">
              <wp:posOffset>69215</wp:posOffset>
            </wp:positionV>
            <wp:extent cx="563880" cy="1936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3880" cy="1936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9"/>
          <w:lang w:bidi="ar-SA"/>
        </w:rPr>
        <w:drawing>
          <wp:anchor distT="0" distB="0" distL="114300" distR="114300" simplePos="0" relativeHeight="251712512" behindDoc="1" locked="0" layoutInCell="1" allowOverlap="1">
            <wp:simplePos x="0" y="0"/>
            <wp:positionH relativeFrom="column">
              <wp:posOffset>3598545</wp:posOffset>
            </wp:positionH>
            <wp:positionV relativeFrom="paragraph">
              <wp:posOffset>69215</wp:posOffset>
            </wp:positionV>
            <wp:extent cx="563880" cy="1936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3880" cy="19367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174" w:lineRule="exact"/>
        <w:rPr>
          <w:rFonts w:ascii="Times New Roman" w:eastAsia="Times New Roman" w:hAnsi="Times New Roman"/>
        </w:rPr>
      </w:pPr>
    </w:p>
    <w:p w:rsidR="00760D48" w:rsidRDefault="001D2EC7" w:rsidP="00760D48">
      <w:pPr>
        <w:tabs>
          <w:tab w:val="left" w:pos="5800"/>
        </w:tabs>
        <w:spacing w:line="0" w:lineRule="atLeast"/>
        <w:ind w:left="680"/>
        <w:rPr>
          <w:rFonts w:ascii="Arial" w:eastAsia="Arial" w:hAnsi="Arial"/>
          <w:color w:val="333333"/>
          <w:sz w:val="8"/>
        </w:rPr>
      </w:pPr>
      <w:hyperlink r:id="rId134" w:history="1">
        <w:r w:rsidR="00760D48">
          <w:rPr>
            <w:rFonts w:ascii="Arial" w:eastAsia="Arial" w:hAnsi="Arial"/>
            <w:color w:val="333333"/>
            <w:sz w:val="11"/>
          </w:rPr>
          <w:t>SEE PROFILE</w:t>
        </w:r>
      </w:hyperlink>
      <w:r w:rsidR="00760D48">
        <w:rPr>
          <w:rFonts w:ascii="Arial" w:eastAsia="Arial" w:hAnsi="Arial"/>
          <w:color w:val="333333"/>
          <w:sz w:val="11"/>
        </w:rPr>
        <w:tab/>
      </w:r>
      <w:hyperlink r:id="rId135" w:history="1">
        <w:r w:rsidR="00760D48">
          <w:rPr>
            <w:rFonts w:ascii="Arial" w:eastAsia="Arial" w:hAnsi="Arial"/>
            <w:color w:val="333333"/>
            <w:sz w:val="8"/>
          </w:rPr>
          <w:t>SEE PROFILE</w:t>
        </w:r>
      </w:hyperlink>
    </w:p>
    <w:p w:rsidR="00760D48" w:rsidRDefault="00760D48" w:rsidP="00760D48">
      <w:pPr>
        <w:spacing w:line="200" w:lineRule="exact"/>
        <w:rPr>
          <w:rFonts w:ascii="Times New Roman" w:eastAsia="Times New Roman" w:hAnsi="Times New Roman"/>
        </w:rPr>
      </w:pPr>
    </w:p>
    <w:p w:rsidR="00760D48" w:rsidRDefault="00760D48" w:rsidP="00760D48">
      <w:pPr>
        <w:spacing w:line="296" w:lineRule="exact"/>
        <w:rPr>
          <w:rFonts w:ascii="Times New Roman" w:eastAsia="Times New Roman" w:hAnsi="Times New Roman"/>
        </w:rPr>
      </w:pPr>
    </w:p>
    <w:p w:rsidR="00760D48" w:rsidRDefault="00760D48" w:rsidP="00760D48">
      <w:pPr>
        <w:spacing w:line="0" w:lineRule="atLeast"/>
        <w:rPr>
          <w:rFonts w:ascii="Arial" w:eastAsia="Arial" w:hAnsi="Arial"/>
          <w:b/>
          <w:color w:val="222222"/>
          <w:sz w:val="13"/>
        </w:rPr>
      </w:pPr>
      <w:r>
        <w:rPr>
          <w:rFonts w:ascii="Arial" w:eastAsia="Arial" w:hAnsi="Arial"/>
          <w:b/>
          <w:color w:val="222222"/>
          <w:sz w:val="13"/>
        </w:rPr>
        <w:t>Some of the authors of this publication are also working on these related projects:</w:t>
      </w:r>
    </w:p>
    <w:p w:rsidR="00760D48" w:rsidRDefault="00760D48" w:rsidP="00760D48">
      <w:pPr>
        <w:spacing w:line="20" w:lineRule="exact"/>
        <w:rPr>
          <w:rFonts w:ascii="Times New Roman" w:eastAsia="Times New Roman" w:hAnsi="Times New Roman"/>
        </w:rPr>
      </w:pPr>
      <w:r>
        <w:rPr>
          <w:rFonts w:ascii="Arial" w:eastAsia="Arial" w:hAnsi="Arial"/>
          <w:b/>
          <w:noProof/>
          <w:color w:val="222222"/>
          <w:sz w:val="13"/>
          <w:lang w:bidi="ar-SA"/>
        </w:rPr>
        <w:drawing>
          <wp:anchor distT="0" distB="0" distL="114300" distR="114300" simplePos="0" relativeHeight="251713536" behindDoc="1" locked="0" layoutInCell="1" allowOverlap="1">
            <wp:simplePos x="0" y="0"/>
            <wp:positionH relativeFrom="column">
              <wp:posOffset>-2540</wp:posOffset>
            </wp:positionH>
            <wp:positionV relativeFrom="paragraph">
              <wp:posOffset>112395</wp:posOffset>
            </wp:positionV>
            <wp:extent cx="336550" cy="3365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362" w:lineRule="exact"/>
        <w:rPr>
          <w:rFonts w:ascii="Times New Roman" w:eastAsia="Times New Roman" w:hAnsi="Times New Roman"/>
        </w:rPr>
      </w:pPr>
    </w:p>
    <w:p w:rsidR="00760D48" w:rsidRDefault="00760D48" w:rsidP="00760D48">
      <w:pPr>
        <w:spacing w:line="0" w:lineRule="atLeast"/>
        <w:ind w:left="900"/>
        <w:rPr>
          <w:rFonts w:ascii="Arial" w:eastAsia="Arial" w:hAnsi="Arial"/>
          <w:color w:val="3874A1"/>
          <w:sz w:val="13"/>
        </w:rPr>
      </w:pPr>
      <w:r>
        <w:rPr>
          <w:rFonts w:ascii="Arial" w:eastAsia="Arial" w:hAnsi="Arial"/>
          <w:color w:val="333333"/>
          <w:sz w:val="13"/>
        </w:rPr>
        <w:t xml:space="preserve">Coronary Interventions </w:t>
      </w:r>
      <w:hyperlink r:id="rId137" w:history="1">
        <w:r>
          <w:rPr>
            <w:rFonts w:ascii="Arial" w:eastAsia="Arial" w:hAnsi="Arial"/>
            <w:color w:val="3874A1"/>
            <w:sz w:val="13"/>
          </w:rPr>
          <w:t>View project</w:t>
        </w:r>
      </w:hyperlink>
    </w:p>
    <w:p w:rsidR="00760D48" w:rsidRDefault="00760D48" w:rsidP="00760D48">
      <w:pPr>
        <w:spacing w:line="20" w:lineRule="exact"/>
        <w:rPr>
          <w:rFonts w:ascii="Times New Roman" w:eastAsia="Times New Roman" w:hAnsi="Times New Roman"/>
        </w:rPr>
      </w:pPr>
      <w:r>
        <w:rPr>
          <w:rFonts w:ascii="Arial" w:eastAsia="Arial" w:hAnsi="Arial"/>
          <w:noProof/>
          <w:color w:val="3874A1"/>
          <w:sz w:val="13"/>
          <w:lang w:bidi="ar-SA"/>
        </w:rPr>
        <w:drawing>
          <wp:anchor distT="0" distB="0" distL="114300" distR="114300" simplePos="0" relativeHeight="251714560" behindDoc="1" locked="0" layoutInCell="1" allowOverlap="1">
            <wp:simplePos x="0" y="0"/>
            <wp:positionH relativeFrom="column">
              <wp:posOffset>-2540</wp:posOffset>
            </wp:positionH>
            <wp:positionV relativeFrom="paragraph">
              <wp:posOffset>153670</wp:posOffset>
            </wp:positionV>
            <wp:extent cx="336550" cy="336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00" w:lineRule="exact"/>
        <w:rPr>
          <w:rFonts w:ascii="Times New Roman" w:eastAsia="Times New Roman" w:hAnsi="Times New Roman"/>
        </w:rPr>
      </w:pPr>
    </w:p>
    <w:p w:rsidR="00760D48" w:rsidRDefault="00760D48" w:rsidP="00760D48">
      <w:pPr>
        <w:spacing w:line="227" w:lineRule="exact"/>
        <w:rPr>
          <w:rFonts w:ascii="Times New Roman" w:eastAsia="Times New Roman" w:hAnsi="Times New Roman"/>
        </w:rPr>
      </w:pPr>
    </w:p>
    <w:p w:rsidR="00760D48" w:rsidRDefault="00760D48" w:rsidP="00760D48">
      <w:pPr>
        <w:spacing w:line="0" w:lineRule="atLeast"/>
        <w:ind w:left="900"/>
        <w:rPr>
          <w:rFonts w:ascii="Arial" w:eastAsia="Arial" w:hAnsi="Arial"/>
          <w:color w:val="3874A1"/>
          <w:sz w:val="13"/>
        </w:rPr>
      </w:pPr>
      <w:r>
        <w:rPr>
          <w:rFonts w:ascii="Arial" w:eastAsia="Arial" w:hAnsi="Arial"/>
          <w:color w:val="333333"/>
          <w:sz w:val="13"/>
        </w:rPr>
        <w:t xml:space="preserve">Hyperhomocystenemia association with coronary artery disease in absence of conventional risk factors among young adults </w:t>
      </w:r>
      <w:hyperlink r:id="rId138" w:history="1">
        <w:r>
          <w:rPr>
            <w:rFonts w:ascii="Arial" w:eastAsia="Arial" w:hAnsi="Arial"/>
            <w:color w:val="3874A1"/>
            <w:sz w:val="13"/>
          </w:rPr>
          <w:t>View project</w:t>
        </w:r>
      </w:hyperlink>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386" w:lineRule="exact"/>
        <w:rPr>
          <w:rFonts w:ascii="Times New Roman" w:eastAsia="Times New Roman" w:hAnsi="Times New Roman"/>
        </w:rPr>
      </w:pPr>
    </w:p>
    <w:p w:rsidR="00760D48" w:rsidRDefault="00760D48" w:rsidP="00760D48">
      <w:pPr>
        <w:spacing w:line="0" w:lineRule="atLeast"/>
        <w:ind w:left="60"/>
        <w:rPr>
          <w:rFonts w:ascii="Arial" w:eastAsia="Arial" w:hAnsi="Arial"/>
          <w:sz w:val="9"/>
        </w:rPr>
      </w:pPr>
      <w:r>
        <w:rPr>
          <w:rFonts w:ascii="Arial" w:eastAsia="Arial" w:hAnsi="Arial"/>
          <w:sz w:val="9"/>
        </w:rPr>
        <w:t xml:space="preserve">All content following this page was uploaded by </w:t>
      </w:r>
      <w:hyperlink r:id="rId139" w:history="1">
        <w:r>
          <w:rPr>
            <w:rFonts w:ascii="Arial" w:eastAsia="Arial" w:hAnsi="Arial"/>
            <w:color w:val="3874A1"/>
            <w:sz w:val="9"/>
          </w:rPr>
          <w:t>Afrasyab Altaf</w:t>
        </w:r>
        <w:r>
          <w:rPr>
            <w:rFonts w:ascii="Arial" w:eastAsia="Arial" w:hAnsi="Arial"/>
            <w:sz w:val="9"/>
          </w:rPr>
          <w:t xml:space="preserve"> </w:t>
        </w:r>
      </w:hyperlink>
      <w:r>
        <w:rPr>
          <w:rFonts w:ascii="Arial" w:eastAsia="Arial" w:hAnsi="Arial"/>
          <w:sz w:val="9"/>
        </w:rPr>
        <w:t>on 12 October 2020.</w:t>
      </w:r>
    </w:p>
    <w:p w:rsidR="00760D48" w:rsidRDefault="00760D48" w:rsidP="00760D48">
      <w:pPr>
        <w:spacing w:line="0" w:lineRule="atLeast"/>
        <w:ind w:left="60"/>
        <w:rPr>
          <w:rFonts w:ascii="Arial" w:eastAsia="Arial" w:hAnsi="Arial"/>
          <w:sz w:val="9"/>
        </w:rPr>
        <w:sectPr w:rsidR="00760D48" w:rsidSect="008025A7">
          <w:type w:val="continuous"/>
          <w:pgSz w:w="11900" w:h="16819"/>
          <w:pgMar w:top="1436" w:right="1299" w:bottom="0" w:left="800" w:header="0" w:footer="0" w:gutter="0"/>
          <w:cols w:space="0" w:equalWidth="0">
            <w:col w:w="9800"/>
          </w:cols>
          <w:docGrid w:linePitch="360"/>
        </w:sectPr>
      </w:pPr>
    </w:p>
    <w:p w:rsidR="00760D48" w:rsidRDefault="00760D48" w:rsidP="00760D48">
      <w:pPr>
        <w:spacing w:line="149" w:lineRule="exact"/>
        <w:rPr>
          <w:rFonts w:ascii="Times New Roman" w:eastAsia="Times New Roman" w:hAnsi="Times New Roman"/>
        </w:rPr>
      </w:pPr>
    </w:p>
    <w:p w:rsidR="00760D48" w:rsidRDefault="00760D48" w:rsidP="00760D48">
      <w:pPr>
        <w:spacing w:line="0" w:lineRule="atLeast"/>
        <w:ind w:left="60"/>
        <w:rPr>
          <w:rFonts w:ascii="Arial" w:eastAsia="Arial" w:hAnsi="Arial"/>
          <w:sz w:val="8"/>
        </w:rPr>
      </w:pPr>
      <w:r>
        <w:rPr>
          <w:rFonts w:ascii="Arial" w:eastAsia="Arial" w:hAnsi="Arial"/>
          <w:sz w:val="8"/>
        </w:rPr>
        <w:t>The user has requested enhancement of the downloaded file.</w:t>
      </w:r>
    </w:p>
    <w:p w:rsidR="00760D48" w:rsidRDefault="00760D48" w:rsidP="00760D48">
      <w:pPr>
        <w:spacing w:line="0" w:lineRule="atLeast"/>
        <w:ind w:left="60"/>
        <w:rPr>
          <w:rFonts w:ascii="Arial" w:eastAsia="Arial" w:hAnsi="Arial"/>
          <w:sz w:val="8"/>
        </w:rPr>
        <w:sectPr w:rsidR="00760D48">
          <w:type w:val="continuous"/>
          <w:pgSz w:w="11900" w:h="16819"/>
          <w:pgMar w:top="1436" w:right="1299" w:bottom="0" w:left="800" w:header="0" w:footer="0" w:gutter="0"/>
          <w:cols w:space="0" w:equalWidth="0">
            <w:col w:w="9800"/>
          </w:cols>
          <w:docGrid w:linePitch="360"/>
        </w:sectPr>
      </w:pPr>
    </w:p>
    <w:p w:rsidR="00760D48" w:rsidRDefault="00760D48" w:rsidP="00760D48">
      <w:pPr>
        <w:spacing w:line="0" w:lineRule="atLeast"/>
        <w:jc w:val="right"/>
        <w:rPr>
          <w:rFonts w:ascii="Arial" w:eastAsia="Arial" w:hAnsi="Arial"/>
          <w:sz w:val="14"/>
        </w:rPr>
      </w:pPr>
      <w:r>
        <w:rPr>
          <w:rFonts w:ascii="Arial" w:eastAsia="Arial" w:hAnsi="Arial"/>
          <w:sz w:val="14"/>
        </w:rPr>
        <w:lastRenderedPageBreak/>
        <w:t>Acta Angiol</w:t>
      </w:r>
    </w:p>
    <w:p w:rsidR="00760D48" w:rsidRDefault="00760D48" w:rsidP="00760D48">
      <w:pPr>
        <w:spacing w:line="20" w:lineRule="exact"/>
        <w:rPr>
          <w:rFonts w:ascii="Times New Roman" w:eastAsia="Times New Roman" w:hAnsi="Times New Roman"/>
        </w:rPr>
      </w:pPr>
      <w:r>
        <w:rPr>
          <w:rFonts w:ascii="Arial" w:eastAsia="Arial" w:hAnsi="Arial"/>
          <w:noProof/>
          <w:sz w:val="14"/>
          <w:lang w:bidi="ar-SA"/>
        </w:rPr>
        <w:drawing>
          <wp:anchor distT="0" distB="0" distL="114300" distR="114300" simplePos="0" relativeHeight="251715584" behindDoc="1" locked="0" layoutInCell="1" allowOverlap="1">
            <wp:simplePos x="0" y="0"/>
            <wp:positionH relativeFrom="column">
              <wp:posOffset>140335</wp:posOffset>
            </wp:positionH>
            <wp:positionV relativeFrom="paragraph">
              <wp:posOffset>-77470</wp:posOffset>
            </wp:positionV>
            <wp:extent cx="358775" cy="196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8775" cy="19685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0" w:lineRule="atLeast"/>
        <w:jc w:val="right"/>
        <w:rPr>
          <w:rFonts w:ascii="Arial" w:eastAsia="Arial" w:hAnsi="Arial"/>
          <w:sz w:val="14"/>
        </w:rPr>
      </w:pPr>
      <w:r>
        <w:rPr>
          <w:rFonts w:ascii="Arial" w:eastAsia="Arial" w:hAnsi="Arial"/>
          <w:sz w:val="14"/>
        </w:rPr>
        <w:t>Vol. 26, No. 2, pp. 58–64</w:t>
      </w:r>
    </w:p>
    <w:p w:rsidR="00760D48" w:rsidRDefault="00760D48" w:rsidP="00760D48">
      <w:pPr>
        <w:spacing w:line="197" w:lineRule="auto"/>
        <w:jc w:val="right"/>
        <w:rPr>
          <w:rFonts w:ascii="Arial" w:eastAsia="Arial" w:hAnsi="Arial"/>
          <w:sz w:val="14"/>
        </w:rPr>
      </w:pPr>
      <w:r>
        <w:rPr>
          <w:rFonts w:ascii="Arial" w:eastAsia="Arial" w:hAnsi="Arial"/>
          <w:sz w:val="14"/>
        </w:rPr>
        <w:t>Doi: 10.5603/AA.2020.0010</w:t>
      </w:r>
    </w:p>
    <w:p w:rsidR="00760D48" w:rsidRDefault="00760D48" w:rsidP="00760D48">
      <w:pPr>
        <w:spacing w:line="20" w:lineRule="exact"/>
        <w:rPr>
          <w:rFonts w:ascii="Times New Roman" w:eastAsia="Times New Roman" w:hAnsi="Times New Roman"/>
        </w:rPr>
      </w:pPr>
      <w:r>
        <w:rPr>
          <w:rFonts w:ascii="Arial" w:eastAsia="Arial" w:hAnsi="Arial"/>
          <w:noProof/>
          <w:sz w:val="14"/>
          <w:lang w:bidi="ar-SA"/>
        </w:rPr>
        <w:drawing>
          <wp:anchor distT="0" distB="0" distL="114300" distR="114300" simplePos="0" relativeHeight="251716608" behindDoc="1" locked="0" layoutInCell="1" allowOverlap="1">
            <wp:simplePos x="0" y="0"/>
            <wp:positionH relativeFrom="column">
              <wp:posOffset>11430</wp:posOffset>
            </wp:positionH>
            <wp:positionV relativeFrom="paragraph">
              <wp:posOffset>-66040</wp:posOffset>
            </wp:positionV>
            <wp:extent cx="615315" cy="831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5315" cy="8318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tabs>
          <w:tab w:val="left" w:pos="7600"/>
        </w:tabs>
        <w:spacing w:line="0" w:lineRule="atLeast"/>
        <w:ind w:left="4160"/>
        <w:rPr>
          <w:rFonts w:ascii="Arial" w:eastAsia="Arial" w:hAnsi="Arial"/>
          <w:sz w:val="13"/>
        </w:rPr>
      </w:pPr>
      <w:r>
        <w:rPr>
          <w:rFonts w:ascii="Arial" w:eastAsia="Arial" w:hAnsi="Arial"/>
          <w:sz w:val="24"/>
          <w:vertAlign w:val="superscript"/>
        </w:rPr>
        <w:t>ORIGINAL ARTICLE</w:t>
      </w:r>
      <w:r>
        <w:rPr>
          <w:rFonts w:ascii="Times New Roman" w:eastAsia="Times New Roman" w:hAnsi="Times New Roman"/>
        </w:rPr>
        <w:tab/>
      </w:r>
      <w:r>
        <w:rPr>
          <w:rFonts w:ascii="Arial" w:eastAsia="Arial" w:hAnsi="Arial"/>
          <w:sz w:val="13"/>
        </w:rPr>
        <w:t>Copyright © 2020 Via Medica</w:t>
      </w:r>
    </w:p>
    <w:p w:rsidR="00760D48" w:rsidRDefault="00760D48" w:rsidP="00760D48">
      <w:pPr>
        <w:spacing w:line="0" w:lineRule="atLeast"/>
        <w:jc w:val="right"/>
        <w:rPr>
          <w:rFonts w:ascii="Arial" w:eastAsia="Arial" w:hAnsi="Arial"/>
          <w:sz w:val="14"/>
        </w:rPr>
      </w:pPr>
      <w:r>
        <w:rPr>
          <w:rFonts w:ascii="Arial" w:eastAsia="Arial" w:hAnsi="Arial"/>
          <w:sz w:val="14"/>
        </w:rPr>
        <w:t>ISSN 1234–950X</w:t>
      </w:r>
    </w:p>
    <w:p w:rsidR="00760D48" w:rsidRDefault="00760D48" w:rsidP="00760D48">
      <w:pPr>
        <w:spacing w:line="7" w:lineRule="exact"/>
        <w:rPr>
          <w:rFonts w:ascii="Times New Roman" w:eastAsia="Times New Roman" w:hAnsi="Times New Roman"/>
        </w:rPr>
      </w:pPr>
    </w:p>
    <w:p w:rsidR="00760D48" w:rsidRDefault="00760D48" w:rsidP="00760D48">
      <w:pPr>
        <w:spacing w:line="0" w:lineRule="atLeast"/>
        <w:jc w:val="right"/>
        <w:rPr>
          <w:rFonts w:ascii="Arial" w:eastAsia="Arial" w:hAnsi="Arial"/>
          <w:sz w:val="14"/>
        </w:rPr>
      </w:pPr>
      <w:r>
        <w:rPr>
          <w:rFonts w:ascii="Arial" w:eastAsia="Arial" w:hAnsi="Arial"/>
          <w:sz w:val="14"/>
        </w:rPr>
        <w:t>www.journals.viamedica.pl/acta_angiologica</w:t>
      </w:r>
    </w:p>
    <w:p w:rsidR="00760D48" w:rsidRDefault="00760D48" w:rsidP="00760D48">
      <w:pPr>
        <w:spacing w:line="299" w:lineRule="exact"/>
        <w:rPr>
          <w:rFonts w:ascii="Times New Roman" w:eastAsia="Times New Roman" w:hAnsi="Times New Roman"/>
        </w:rPr>
      </w:pPr>
    </w:p>
    <w:p w:rsidR="00760D48" w:rsidRDefault="00760D48" w:rsidP="00760D48">
      <w:pPr>
        <w:spacing w:line="275" w:lineRule="auto"/>
        <w:ind w:right="760"/>
        <w:rPr>
          <w:rFonts w:ascii="Arial" w:eastAsia="Arial" w:hAnsi="Arial"/>
          <w:b/>
          <w:color w:val="00547D"/>
          <w:sz w:val="37"/>
        </w:rPr>
      </w:pPr>
      <w:r>
        <w:rPr>
          <w:rFonts w:ascii="Arial" w:eastAsia="Arial" w:hAnsi="Arial"/>
          <w:b/>
          <w:color w:val="00547D"/>
          <w:sz w:val="37"/>
        </w:rPr>
        <w:t>Prognostic significance of serum potassium level for major adverse cardiac events and death</w:t>
      </w:r>
    </w:p>
    <w:p w:rsidR="00760D48" w:rsidRDefault="00760D48" w:rsidP="00760D48">
      <w:pPr>
        <w:spacing w:line="1" w:lineRule="exact"/>
        <w:rPr>
          <w:rFonts w:ascii="Times New Roman" w:eastAsia="Times New Roman" w:hAnsi="Times New Roman"/>
        </w:rPr>
      </w:pPr>
    </w:p>
    <w:p w:rsidR="00760D48" w:rsidRDefault="00760D48" w:rsidP="00760D48">
      <w:pPr>
        <w:spacing w:line="0" w:lineRule="atLeast"/>
        <w:rPr>
          <w:rFonts w:ascii="Arial" w:eastAsia="Arial" w:hAnsi="Arial"/>
          <w:b/>
          <w:color w:val="00547D"/>
          <w:sz w:val="40"/>
        </w:rPr>
      </w:pPr>
      <w:r>
        <w:rPr>
          <w:rFonts w:ascii="Arial" w:eastAsia="Arial" w:hAnsi="Arial"/>
          <w:b/>
          <w:color w:val="00547D"/>
          <w:sz w:val="40"/>
        </w:rPr>
        <w:t>in patients with coronary atherosclerotic disease</w:t>
      </w:r>
    </w:p>
    <w:p w:rsidR="00760D48" w:rsidRDefault="00760D48" w:rsidP="00760D48">
      <w:pPr>
        <w:spacing w:line="200" w:lineRule="exact"/>
        <w:rPr>
          <w:rFonts w:ascii="Times New Roman" w:eastAsia="Times New Roman" w:hAnsi="Times New Roman"/>
        </w:rPr>
      </w:pPr>
    </w:p>
    <w:p w:rsidR="00760D48" w:rsidRDefault="00760D48" w:rsidP="00760D48">
      <w:pPr>
        <w:spacing w:line="265" w:lineRule="exact"/>
        <w:rPr>
          <w:rFonts w:ascii="Times New Roman" w:eastAsia="Times New Roman" w:hAnsi="Times New Roman"/>
        </w:rPr>
      </w:pPr>
    </w:p>
    <w:p w:rsidR="00760D48" w:rsidRDefault="00760D48" w:rsidP="00760D48">
      <w:pPr>
        <w:spacing w:line="299" w:lineRule="auto"/>
        <w:ind w:right="1140"/>
        <w:rPr>
          <w:rFonts w:ascii="Arial" w:eastAsia="Arial" w:hAnsi="Arial"/>
          <w:sz w:val="26"/>
          <w:vertAlign w:val="superscript"/>
        </w:rPr>
      </w:pPr>
      <w:r>
        <w:rPr>
          <w:rFonts w:ascii="Arial" w:eastAsia="Arial" w:hAnsi="Arial"/>
          <w:sz w:val="24"/>
        </w:rPr>
        <w:t>Afrasyab Altaf</w:t>
      </w:r>
      <w:r>
        <w:rPr>
          <w:rFonts w:ascii="Arial" w:eastAsia="Arial" w:hAnsi="Arial"/>
          <w:sz w:val="26"/>
          <w:vertAlign w:val="superscript"/>
        </w:rPr>
        <w:t>1</w:t>
      </w:r>
      <w:r>
        <w:rPr>
          <w:rFonts w:ascii="Arial" w:eastAsia="Arial" w:hAnsi="Arial"/>
          <w:sz w:val="24"/>
        </w:rPr>
        <w:t>, Aftab Alam</w:t>
      </w:r>
      <w:r>
        <w:rPr>
          <w:rFonts w:ascii="Arial" w:eastAsia="Arial" w:hAnsi="Arial"/>
          <w:sz w:val="26"/>
          <w:vertAlign w:val="superscript"/>
        </w:rPr>
        <w:t>1</w:t>
      </w:r>
      <w:r>
        <w:rPr>
          <w:rFonts w:ascii="Arial" w:eastAsia="Arial" w:hAnsi="Arial"/>
          <w:sz w:val="24"/>
        </w:rPr>
        <w:t>, Momin Salahuddin</w:t>
      </w:r>
      <w:r>
        <w:rPr>
          <w:rFonts w:ascii="Arial" w:eastAsia="Arial" w:hAnsi="Arial"/>
          <w:sz w:val="26"/>
          <w:vertAlign w:val="superscript"/>
        </w:rPr>
        <w:t>2</w:t>
      </w:r>
      <w:r>
        <w:rPr>
          <w:rFonts w:ascii="Arial" w:eastAsia="Arial" w:hAnsi="Arial"/>
          <w:sz w:val="24"/>
        </w:rPr>
        <w:t>, Momin Khan</w:t>
      </w:r>
      <w:r>
        <w:rPr>
          <w:rFonts w:ascii="Arial" w:eastAsia="Arial" w:hAnsi="Arial"/>
          <w:sz w:val="26"/>
          <w:vertAlign w:val="superscript"/>
        </w:rPr>
        <w:t>1</w:t>
      </w:r>
      <w:r>
        <w:rPr>
          <w:rFonts w:ascii="Arial" w:eastAsia="Arial" w:hAnsi="Arial"/>
          <w:sz w:val="24"/>
        </w:rPr>
        <w:t>, Mazhar Mahmood</w:t>
      </w:r>
      <w:r>
        <w:rPr>
          <w:rFonts w:ascii="Arial" w:eastAsia="Arial" w:hAnsi="Arial"/>
          <w:sz w:val="26"/>
          <w:vertAlign w:val="superscript"/>
        </w:rPr>
        <w:t>1</w:t>
      </w:r>
      <w:r>
        <w:rPr>
          <w:rFonts w:ascii="Arial" w:eastAsia="Arial" w:hAnsi="Arial"/>
          <w:sz w:val="24"/>
        </w:rPr>
        <w:t>, Hammad Shah</w:t>
      </w:r>
      <w:r>
        <w:rPr>
          <w:rFonts w:ascii="Arial" w:eastAsia="Arial" w:hAnsi="Arial"/>
          <w:sz w:val="26"/>
          <w:vertAlign w:val="superscript"/>
        </w:rPr>
        <w:t>3</w:t>
      </w:r>
      <w:r>
        <w:rPr>
          <w:rFonts w:ascii="Arial" w:eastAsia="Arial" w:hAnsi="Arial"/>
          <w:sz w:val="24"/>
        </w:rPr>
        <w:t>, Karamat Ali Shah</w:t>
      </w:r>
      <w:r>
        <w:rPr>
          <w:rFonts w:ascii="Arial" w:eastAsia="Arial" w:hAnsi="Arial"/>
          <w:sz w:val="26"/>
          <w:vertAlign w:val="superscript"/>
        </w:rPr>
        <w:t>2</w:t>
      </w:r>
    </w:p>
    <w:p w:rsidR="00760D48" w:rsidRDefault="00760D48" w:rsidP="00760D48">
      <w:pPr>
        <w:spacing w:line="27" w:lineRule="exact"/>
        <w:rPr>
          <w:rFonts w:ascii="Times New Roman" w:eastAsia="Times New Roman" w:hAnsi="Times New Roman"/>
        </w:rPr>
      </w:pPr>
    </w:p>
    <w:p w:rsidR="00760D48" w:rsidRDefault="00760D48" w:rsidP="00760D48">
      <w:pPr>
        <w:spacing w:line="0" w:lineRule="atLeast"/>
        <w:rPr>
          <w:rFonts w:ascii="Arial" w:eastAsia="Arial" w:hAnsi="Arial"/>
          <w:sz w:val="18"/>
        </w:rPr>
      </w:pPr>
      <w:r>
        <w:rPr>
          <w:rFonts w:ascii="Arial" w:eastAsia="Arial" w:hAnsi="Arial"/>
          <w:sz w:val="18"/>
          <w:vertAlign w:val="superscript"/>
        </w:rPr>
        <w:t>1</w:t>
      </w:r>
      <w:r>
        <w:rPr>
          <w:rFonts w:ascii="Arial" w:eastAsia="Arial" w:hAnsi="Arial"/>
          <w:sz w:val="18"/>
        </w:rPr>
        <w:t>Assistant Professor, Cardiology Department, Rehman Medical Institute, Peshawar, Pakistan</w:t>
      </w:r>
    </w:p>
    <w:p w:rsidR="00760D48" w:rsidRDefault="00760D48" w:rsidP="00760D48">
      <w:pPr>
        <w:spacing w:line="76" w:lineRule="exact"/>
        <w:rPr>
          <w:rFonts w:ascii="Times New Roman" w:eastAsia="Times New Roman" w:hAnsi="Times New Roman"/>
        </w:rPr>
      </w:pPr>
    </w:p>
    <w:p w:rsidR="00760D48" w:rsidRDefault="00760D48" w:rsidP="00760D48">
      <w:pPr>
        <w:spacing w:line="0" w:lineRule="atLeast"/>
        <w:rPr>
          <w:rFonts w:ascii="Arial" w:eastAsia="Arial" w:hAnsi="Arial"/>
          <w:sz w:val="18"/>
        </w:rPr>
      </w:pPr>
      <w:r>
        <w:rPr>
          <w:rFonts w:ascii="Arial" w:eastAsia="Arial" w:hAnsi="Arial"/>
          <w:sz w:val="18"/>
          <w:vertAlign w:val="superscript"/>
        </w:rPr>
        <w:t>2</w:t>
      </w:r>
      <w:r>
        <w:rPr>
          <w:rFonts w:ascii="Arial" w:eastAsia="Arial" w:hAnsi="Arial"/>
          <w:sz w:val="18"/>
        </w:rPr>
        <w:t>Professor, Cardiology Department, Rehman Medical Institute, Peshawar, Pakistan</w:t>
      </w:r>
    </w:p>
    <w:p w:rsidR="00760D48" w:rsidRDefault="00760D48" w:rsidP="00760D48">
      <w:pPr>
        <w:spacing w:line="70" w:lineRule="exact"/>
        <w:rPr>
          <w:rFonts w:ascii="Times New Roman" w:eastAsia="Times New Roman" w:hAnsi="Times New Roman"/>
        </w:rPr>
      </w:pPr>
    </w:p>
    <w:p w:rsidR="00760D48" w:rsidRDefault="00760D48" w:rsidP="00760D48">
      <w:pPr>
        <w:spacing w:line="0" w:lineRule="atLeast"/>
        <w:rPr>
          <w:rFonts w:ascii="Arial" w:eastAsia="Arial" w:hAnsi="Arial"/>
          <w:sz w:val="18"/>
        </w:rPr>
      </w:pPr>
      <w:r>
        <w:rPr>
          <w:rFonts w:ascii="Arial" w:eastAsia="Arial" w:hAnsi="Arial"/>
          <w:sz w:val="18"/>
          <w:vertAlign w:val="superscript"/>
        </w:rPr>
        <w:t>3</w:t>
      </w:r>
      <w:r>
        <w:rPr>
          <w:rFonts w:ascii="Arial" w:eastAsia="Arial" w:hAnsi="Arial"/>
          <w:sz w:val="18"/>
        </w:rPr>
        <w:t>Fellow in Training, Cardiology Department, Rehman Medical Institute, Peshawar, Pakistan</w:t>
      </w:r>
    </w:p>
    <w:p w:rsidR="00760D48" w:rsidRDefault="001D2EC7" w:rsidP="00760D48">
      <w:pPr>
        <w:spacing w:line="20" w:lineRule="exact"/>
        <w:rPr>
          <w:rFonts w:ascii="Times New Roman" w:eastAsia="Times New Roman" w:hAnsi="Times New Roman"/>
        </w:rPr>
      </w:pPr>
      <w:r>
        <w:rPr>
          <w:rFonts w:ascii="Arial" w:eastAsia="Arial" w:hAnsi="Arial"/>
          <w:sz w:val="18"/>
        </w:rPr>
        <w:pict>
          <v:line id="_x0000_s1083" style="position:absolute;z-index:-251598848" from="56.85pt,39.75pt" to="467.9pt,39.75pt" o:userdrawn="t" strokeweight=".5pt"/>
        </w:pict>
      </w: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323" w:lineRule="exact"/>
        <w:rPr>
          <w:rFonts w:ascii="Times New Roman" w:eastAsia="Times New Roman" w:hAnsi="Times New Roman"/>
        </w:rPr>
      </w:pPr>
    </w:p>
    <w:p w:rsidR="00760D48" w:rsidRDefault="00760D48" w:rsidP="00760D48">
      <w:pPr>
        <w:spacing w:line="0" w:lineRule="atLeast"/>
        <w:ind w:left="1140"/>
        <w:rPr>
          <w:rFonts w:ascii="Arial" w:eastAsia="Arial" w:hAnsi="Arial"/>
          <w:b/>
          <w:color w:val="78537B"/>
        </w:rPr>
      </w:pPr>
      <w:r>
        <w:rPr>
          <w:rFonts w:ascii="Arial" w:eastAsia="Arial" w:hAnsi="Arial"/>
          <w:b/>
          <w:color w:val="78537B"/>
        </w:rPr>
        <w:t>Abstract</w:t>
      </w:r>
    </w:p>
    <w:p w:rsidR="00760D48" w:rsidRDefault="00760D48" w:rsidP="00760D48">
      <w:pPr>
        <w:spacing w:line="30" w:lineRule="exact"/>
        <w:rPr>
          <w:rFonts w:ascii="Times New Roman" w:eastAsia="Times New Roman" w:hAnsi="Times New Roman"/>
        </w:rPr>
      </w:pPr>
    </w:p>
    <w:p w:rsidR="00760D48" w:rsidRDefault="00760D48" w:rsidP="00760D48">
      <w:pPr>
        <w:spacing w:line="355" w:lineRule="auto"/>
        <w:ind w:left="1420"/>
        <w:jc w:val="both"/>
        <w:rPr>
          <w:rFonts w:ascii="Arial" w:eastAsia="Arial" w:hAnsi="Arial"/>
          <w:i/>
          <w:sz w:val="15"/>
        </w:rPr>
      </w:pPr>
      <w:r>
        <w:rPr>
          <w:rFonts w:ascii="Arial" w:eastAsia="Arial" w:hAnsi="Arial"/>
          <w:b/>
          <w:sz w:val="15"/>
        </w:rPr>
        <w:t xml:space="preserve">Introduction: </w:t>
      </w:r>
      <w:r>
        <w:rPr>
          <w:rFonts w:ascii="Arial" w:eastAsia="Arial" w:hAnsi="Arial"/>
          <w:i/>
          <w:sz w:val="15"/>
        </w:rPr>
        <w:t>Serum potassium levels have been shown in some animal studies to be associated with the</w:t>
      </w:r>
      <w:r>
        <w:rPr>
          <w:rFonts w:ascii="Arial" w:eastAsia="Arial" w:hAnsi="Arial"/>
          <w:b/>
          <w:sz w:val="15"/>
        </w:rPr>
        <w:t xml:space="preserve"> </w:t>
      </w:r>
      <w:r>
        <w:rPr>
          <w:rFonts w:ascii="Arial" w:eastAsia="Arial" w:hAnsi="Arial"/>
          <w:i/>
          <w:sz w:val="15"/>
        </w:rPr>
        <w:t xml:space="preserve">process of atherosclerosis. We decided to assess the correlation of serum potassium level in ischemic heart disease patients with disease severity and its relationship with prognosis in terms of major acute cardiac events (MACE). </w:t>
      </w:r>
      <w:r>
        <w:rPr>
          <w:rFonts w:ascii="Arial" w:eastAsia="Arial" w:hAnsi="Arial"/>
          <w:b/>
          <w:sz w:val="15"/>
        </w:rPr>
        <w:t xml:space="preserve">Material and methods: </w:t>
      </w:r>
      <w:r>
        <w:rPr>
          <w:rFonts w:ascii="Arial" w:eastAsia="Arial" w:hAnsi="Arial"/>
          <w:i/>
          <w:sz w:val="15"/>
        </w:rPr>
        <w:t>This was a cross-sectional cohort study carried out at cardiology department of Rehman</w:t>
      </w:r>
      <w:r>
        <w:rPr>
          <w:rFonts w:ascii="Arial" w:eastAsia="Arial" w:hAnsi="Arial"/>
          <w:b/>
          <w:sz w:val="15"/>
        </w:rPr>
        <w:t xml:space="preserve"> </w:t>
      </w:r>
      <w:r>
        <w:rPr>
          <w:rFonts w:ascii="Arial" w:eastAsia="Arial" w:hAnsi="Arial"/>
          <w:i/>
          <w:sz w:val="15"/>
        </w:rPr>
        <w:t>Medical Institute, from July 2016 to 31</w:t>
      </w:r>
      <w:r>
        <w:rPr>
          <w:rFonts w:ascii="Arial" w:eastAsia="Arial" w:hAnsi="Arial"/>
          <w:i/>
          <w:sz w:val="17"/>
          <w:vertAlign w:val="superscript"/>
        </w:rPr>
        <w:t>st</w:t>
      </w:r>
      <w:r>
        <w:rPr>
          <w:rFonts w:ascii="Arial" w:eastAsia="Arial" w:hAnsi="Arial"/>
          <w:i/>
          <w:sz w:val="15"/>
        </w:rPr>
        <w:t xml:space="preserve"> Aug. 2018 a period of 26 months. 622 patients were included in the study. Clinical and angiographic characteristics were assessed based on the serum potassium level. Correlation of serum potassium level with Synergy between Percutaneous Coronary Intervention with Taxus and Cardiac Surgery (SYNTAX) and Gensini scores was also evaluated. Follow up for MACE was carried out after one year.</w:t>
      </w:r>
    </w:p>
    <w:p w:rsidR="00760D48" w:rsidRDefault="00760D48" w:rsidP="00760D48">
      <w:pPr>
        <w:spacing w:line="5" w:lineRule="exact"/>
        <w:rPr>
          <w:rFonts w:ascii="Times New Roman" w:eastAsia="Times New Roman" w:hAnsi="Times New Roman"/>
        </w:rPr>
      </w:pPr>
    </w:p>
    <w:p w:rsidR="00760D48" w:rsidRDefault="00760D48" w:rsidP="00760D48">
      <w:pPr>
        <w:spacing w:line="339" w:lineRule="auto"/>
        <w:ind w:left="1420"/>
        <w:jc w:val="both"/>
        <w:rPr>
          <w:rFonts w:ascii="Arial" w:eastAsia="Arial" w:hAnsi="Arial"/>
          <w:i/>
          <w:sz w:val="16"/>
        </w:rPr>
      </w:pPr>
      <w:r>
        <w:rPr>
          <w:rFonts w:ascii="Arial" w:eastAsia="Arial" w:hAnsi="Arial"/>
          <w:b/>
          <w:sz w:val="16"/>
        </w:rPr>
        <w:t xml:space="preserve">Results: </w:t>
      </w:r>
      <w:r>
        <w:rPr>
          <w:rFonts w:ascii="Arial" w:eastAsia="Arial" w:hAnsi="Arial"/>
          <w:i/>
          <w:sz w:val="16"/>
        </w:rPr>
        <w:t>Mean serum potassium level was 3.93 ± 0.95 (mEq/l) in coronary artery disease patients. Serum</w:t>
      </w:r>
      <w:r>
        <w:rPr>
          <w:rFonts w:ascii="Arial" w:eastAsia="Arial" w:hAnsi="Arial"/>
          <w:b/>
          <w:sz w:val="16"/>
        </w:rPr>
        <w:t xml:space="preserve"> </w:t>
      </w:r>
      <w:r>
        <w:rPr>
          <w:rFonts w:ascii="Arial" w:eastAsia="Arial" w:hAnsi="Arial"/>
          <w:i/>
          <w:sz w:val="16"/>
        </w:rPr>
        <w:t>potassium level showed negative correlation with SYNTAX score (r = –0.60, p &lt; 0.05) and Gensini score (r = –0.64, p &lt; 0.05). There was also a significant difference between low and high potassium level in relation to the multi-vessel disease on coronary angiography (p &lt; 0.05). Low potassium level was a good predictor of adverse outcomes as shown by Kaplan-Meier analysis. Multivariate Cox regression analysis showed that serum potassium level and diabetes were independent predictors of MACE (p &lt; 0.05).</w:t>
      </w:r>
    </w:p>
    <w:p w:rsidR="00760D48" w:rsidRDefault="00760D48" w:rsidP="00760D48">
      <w:pPr>
        <w:spacing w:line="1" w:lineRule="exact"/>
        <w:rPr>
          <w:rFonts w:ascii="Times New Roman" w:eastAsia="Times New Roman" w:hAnsi="Times New Roman"/>
        </w:rPr>
      </w:pPr>
    </w:p>
    <w:p w:rsidR="00760D48" w:rsidRDefault="00760D48" w:rsidP="00760D48">
      <w:pPr>
        <w:spacing w:line="280" w:lineRule="auto"/>
        <w:ind w:left="1420"/>
        <w:jc w:val="both"/>
        <w:rPr>
          <w:rFonts w:ascii="Arial" w:eastAsia="Arial" w:hAnsi="Arial"/>
          <w:i/>
        </w:rPr>
      </w:pPr>
      <w:r>
        <w:rPr>
          <w:rFonts w:ascii="Arial" w:eastAsia="Arial" w:hAnsi="Arial"/>
          <w:b/>
        </w:rPr>
        <w:t xml:space="preserve">Conclusion: </w:t>
      </w:r>
      <w:r>
        <w:rPr>
          <w:rFonts w:ascii="Arial" w:eastAsia="Arial" w:hAnsi="Arial"/>
          <w:i/>
        </w:rPr>
        <w:t>Low serum potassium level is correlated with more severe coronary atherosclerosis. Low potassium</w:t>
      </w:r>
      <w:r>
        <w:rPr>
          <w:rFonts w:ascii="Arial" w:eastAsia="Arial" w:hAnsi="Arial"/>
          <w:b/>
        </w:rPr>
        <w:t xml:space="preserve"> </w:t>
      </w:r>
      <w:r>
        <w:rPr>
          <w:rFonts w:ascii="Arial" w:eastAsia="Arial" w:hAnsi="Arial"/>
          <w:i/>
        </w:rPr>
        <w:t>levels are associated with significantly poor outcomes.</w:t>
      </w:r>
    </w:p>
    <w:p w:rsidR="00760D48" w:rsidRDefault="00760D48" w:rsidP="00760D48">
      <w:pPr>
        <w:spacing w:line="97" w:lineRule="exact"/>
        <w:rPr>
          <w:rFonts w:ascii="Times New Roman" w:eastAsia="Times New Roman" w:hAnsi="Times New Roman"/>
        </w:rPr>
      </w:pPr>
    </w:p>
    <w:p w:rsidR="00760D48" w:rsidRDefault="00760D48" w:rsidP="00760D48">
      <w:pPr>
        <w:spacing w:line="0" w:lineRule="atLeast"/>
        <w:ind w:right="-39"/>
        <w:jc w:val="center"/>
        <w:rPr>
          <w:rFonts w:ascii="Arial" w:eastAsia="Arial" w:hAnsi="Arial"/>
        </w:rPr>
      </w:pPr>
      <w:r>
        <w:rPr>
          <w:rFonts w:ascii="Arial" w:eastAsia="Arial" w:hAnsi="Arial"/>
          <w:b/>
        </w:rPr>
        <w:t xml:space="preserve">Key words: </w:t>
      </w:r>
      <w:r>
        <w:rPr>
          <w:rFonts w:ascii="Arial" w:eastAsia="Arial" w:hAnsi="Arial"/>
        </w:rPr>
        <w:t>coronary artery disease, coronary angiography, prognosis, potassium</w:t>
      </w:r>
    </w:p>
    <w:p w:rsidR="00760D48" w:rsidRDefault="00760D48" w:rsidP="00760D48">
      <w:pPr>
        <w:spacing w:line="381" w:lineRule="exact"/>
        <w:rPr>
          <w:rFonts w:ascii="Times New Roman" w:eastAsia="Times New Roman" w:hAnsi="Times New Roman"/>
        </w:rPr>
      </w:pPr>
    </w:p>
    <w:p w:rsidR="00760D48" w:rsidRDefault="00760D48" w:rsidP="00760D48">
      <w:pPr>
        <w:spacing w:line="0" w:lineRule="atLeast"/>
        <w:ind w:left="1420"/>
        <w:rPr>
          <w:rFonts w:ascii="Arial" w:eastAsia="Arial" w:hAnsi="Arial"/>
          <w:sz w:val="19"/>
        </w:rPr>
      </w:pPr>
      <w:r>
        <w:rPr>
          <w:rFonts w:ascii="Arial" w:eastAsia="Arial" w:hAnsi="Arial"/>
          <w:sz w:val="19"/>
        </w:rPr>
        <w:t>Acta Angiol 2020; 26, 2: 58–64</w:t>
      </w:r>
    </w:p>
    <w:p w:rsidR="00760D48" w:rsidRDefault="001D2EC7" w:rsidP="00760D48">
      <w:pPr>
        <w:spacing w:line="20" w:lineRule="exact"/>
        <w:rPr>
          <w:rFonts w:ascii="Times New Roman" w:eastAsia="Times New Roman" w:hAnsi="Times New Roman"/>
        </w:rPr>
      </w:pPr>
      <w:r>
        <w:rPr>
          <w:rFonts w:ascii="Arial" w:eastAsia="Arial" w:hAnsi="Arial"/>
          <w:sz w:val="19"/>
        </w:rPr>
        <w:pict>
          <v:line id="_x0000_s1084" style="position:absolute;z-index:-251597824" from="71pt,8.05pt" to="467.9pt,8.05pt" o:userdrawn="t" strokeweight=".5pt"/>
        </w:pict>
      </w:r>
    </w:p>
    <w:p w:rsidR="00760D48" w:rsidRDefault="00760D48" w:rsidP="00760D48">
      <w:pPr>
        <w:spacing w:line="20" w:lineRule="exact"/>
        <w:rPr>
          <w:rFonts w:ascii="Times New Roman" w:eastAsia="Times New Roman" w:hAnsi="Times New Roman"/>
        </w:rPr>
        <w:sectPr w:rsidR="00760D48">
          <w:pgSz w:w="11620" w:h="16441"/>
          <w:pgMar w:top="623" w:right="1302" w:bottom="150" w:left="960" w:header="0" w:footer="0" w:gutter="0"/>
          <w:cols w:space="0" w:equalWidth="0">
            <w:col w:w="93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303" w:lineRule="exact"/>
        <w:rPr>
          <w:rFonts w:ascii="Times New Roman" w:eastAsia="Times New Roman" w:hAnsi="Times New Roman"/>
        </w:rPr>
      </w:pPr>
    </w:p>
    <w:p w:rsidR="00760D48" w:rsidRDefault="00760D48" w:rsidP="00760D48">
      <w:pPr>
        <w:spacing w:line="0" w:lineRule="atLeast"/>
        <w:jc w:val="center"/>
        <w:rPr>
          <w:rFonts w:ascii="Arial" w:eastAsia="Arial" w:hAnsi="Arial"/>
          <w:b/>
          <w:color w:val="00547D"/>
          <w:sz w:val="24"/>
        </w:rPr>
      </w:pPr>
      <w:r>
        <w:rPr>
          <w:rFonts w:ascii="Arial" w:eastAsia="Arial" w:hAnsi="Arial"/>
          <w:b/>
          <w:color w:val="00547D"/>
          <w:sz w:val="24"/>
        </w:rPr>
        <w:t>Introduction</w:t>
      </w:r>
    </w:p>
    <w:p w:rsidR="00760D48" w:rsidRDefault="00760D48" w:rsidP="00760D48">
      <w:pPr>
        <w:spacing w:line="241" w:lineRule="exact"/>
        <w:rPr>
          <w:rFonts w:ascii="Times New Roman" w:eastAsia="Times New Roman" w:hAnsi="Times New Roman"/>
        </w:rPr>
      </w:pPr>
    </w:p>
    <w:p w:rsidR="00760D48" w:rsidRDefault="00760D48" w:rsidP="00760D48">
      <w:pPr>
        <w:spacing w:line="319" w:lineRule="auto"/>
        <w:jc w:val="both"/>
        <w:rPr>
          <w:rFonts w:ascii="Arial" w:eastAsia="Arial" w:hAnsi="Arial"/>
          <w:sz w:val="17"/>
        </w:rPr>
      </w:pPr>
      <w:r>
        <w:rPr>
          <w:rFonts w:ascii="Arial" w:eastAsia="Arial" w:hAnsi="Arial"/>
          <w:sz w:val="17"/>
        </w:rPr>
        <w:t>Cardiovascular disease is the leading cause of morbidity and mortality globally [1]. A lot of research is underway to better understand the causes of cardiovascular dis-ease as well as the means to reduce such an alarming incidence. One such modifiable factor which has come under light recently is serum potassium level.</w:t>
      </w:r>
    </w:p>
    <w:p w:rsidR="00760D48" w:rsidRDefault="001D2EC7" w:rsidP="00760D48">
      <w:pPr>
        <w:spacing w:line="20" w:lineRule="exact"/>
        <w:rPr>
          <w:rFonts w:ascii="Times New Roman" w:eastAsia="Times New Roman" w:hAnsi="Times New Roman"/>
        </w:rPr>
      </w:pPr>
      <w:r>
        <w:rPr>
          <w:rFonts w:ascii="Arial" w:eastAsia="Arial" w:hAnsi="Arial"/>
          <w:sz w:val="17"/>
        </w:rPr>
        <w:pict>
          <v:line id="_x0000_s1085" style="position:absolute;z-index:-251596800" from=".15pt,15.05pt" to="467.9pt,15.05pt" o:userdrawn="t" strokecolor="#6d6e71" strokeweight=".5pt"/>
        </w:pict>
      </w:r>
    </w:p>
    <w:p w:rsidR="00760D48" w:rsidRDefault="00760D48" w:rsidP="00760D48">
      <w:pPr>
        <w:spacing w:line="200" w:lineRule="exact"/>
        <w:rPr>
          <w:rFonts w:ascii="Times New Roman" w:eastAsia="Times New Roman" w:hAnsi="Times New Roman"/>
        </w:rPr>
      </w:pPr>
      <w:r>
        <w:rPr>
          <w:rFonts w:ascii="Times New Roman" w:eastAsia="Times New Roman" w:hAnsi="Times New Roman"/>
        </w:rPr>
        <w:br w:type="column"/>
      </w:r>
    </w:p>
    <w:p w:rsidR="00760D48" w:rsidRDefault="00760D48" w:rsidP="00760D48">
      <w:pPr>
        <w:spacing w:line="316" w:lineRule="exact"/>
        <w:rPr>
          <w:rFonts w:ascii="Times New Roman" w:eastAsia="Times New Roman" w:hAnsi="Times New Roman"/>
        </w:rPr>
      </w:pPr>
    </w:p>
    <w:p w:rsidR="00760D48" w:rsidRDefault="00760D48" w:rsidP="00760D48">
      <w:pPr>
        <w:spacing w:line="289" w:lineRule="auto"/>
        <w:ind w:firstLine="283"/>
        <w:jc w:val="both"/>
        <w:rPr>
          <w:rFonts w:ascii="Arial" w:eastAsia="Arial" w:hAnsi="Arial"/>
          <w:sz w:val="18"/>
        </w:rPr>
      </w:pPr>
      <w:r>
        <w:rPr>
          <w:rFonts w:ascii="Arial" w:eastAsia="Arial" w:hAnsi="Arial"/>
          <w:sz w:val="18"/>
        </w:rPr>
        <w:t>Hypokalemia has multiple effects on the myocardi-um and predisposes to arrhythmias while on the other hand hyperkalemia slows down conduction [2].</w:t>
      </w:r>
    </w:p>
    <w:p w:rsidR="00760D48" w:rsidRDefault="00760D48" w:rsidP="00760D48">
      <w:pPr>
        <w:spacing w:line="2" w:lineRule="exact"/>
        <w:rPr>
          <w:rFonts w:ascii="Times New Roman" w:eastAsia="Times New Roman" w:hAnsi="Times New Roman"/>
        </w:rPr>
      </w:pPr>
    </w:p>
    <w:p w:rsidR="00760D48" w:rsidRDefault="00760D48" w:rsidP="00760D48">
      <w:pPr>
        <w:spacing w:line="301" w:lineRule="auto"/>
        <w:ind w:firstLine="283"/>
        <w:jc w:val="both"/>
        <w:rPr>
          <w:rFonts w:ascii="Arial" w:eastAsia="Arial" w:hAnsi="Arial"/>
          <w:sz w:val="18"/>
        </w:rPr>
      </w:pPr>
      <w:r>
        <w:rPr>
          <w:rFonts w:ascii="Arial" w:eastAsia="Arial" w:hAnsi="Arial"/>
          <w:sz w:val="18"/>
        </w:rPr>
        <w:t>Studies have shown that elevated potassium levels induce arterial smooth muscle relaxation and cause vasodilatation due to involvement of K+ channels and Na+/K+-ATPase [3–6]. Elevated serum potassium levels also play a role in the inhibition of platelet ag-</w:t>
      </w:r>
    </w:p>
    <w:p w:rsidR="00760D48" w:rsidRDefault="00760D48" w:rsidP="00760D48">
      <w:pPr>
        <w:spacing w:line="301" w:lineRule="auto"/>
        <w:ind w:firstLine="283"/>
        <w:jc w:val="both"/>
        <w:rPr>
          <w:rFonts w:ascii="Arial" w:eastAsia="Arial" w:hAnsi="Arial"/>
          <w:sz w:val="18"/>
        </w:rPr>
        <w:sectPr w:rsidR="00760D48">
          <w:type w:val="continuous"/>
          <w:pgSz w:w="11620" w:h="16441"/>
          <w:pgMar w:top="623" w:right="1302" w:bottom="150" w:left="960" w:header="0" w:footer="0" w:gutter="0"/>
          <w:cols w:num="2" w:space="0" w:equalWidth="0">
            <w:col w:w="4460" w:space="440"/>
            <w:col w:w="44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02" w:lineRule="exact"/>
        <w:rPr>
          <w:rFonts w:ascii="Times New Roman" w:eastAsia="Times New Roman" w:hAnsi="Times New Roman"/>
        </w:rPr>
      </w:pPr>
    </w:p>
    <w:p w:rsidR="00760D48" w:rsidRDefault="00760D48" w:rsidP="00760D48">
      <w:pPr>
        <w:spacing w:line="0" w:lineRule="atLeast"/>
        <w:rPr>
          <w:rFonts w:ascii="Arial" w:eastAsia="Arial" w:hAnsi="Arial"/>
          <w:color w:val="000000"/>
          <w:sz w:val="14"/>
        </w:rPr>
      </w:pPr>
      <w:r>
        <w:rPr>
          <w:rFonts w:ascii="Arial" w:eastAsia="Arial" w:hAnsi="Arial"/>
          <w:b/>
          <w:color w:val="78537B"/>
          <w:sz w:val="14"/>
        </w:rPr>
        <w:t xml:space="preserve">Address for correspondence: </w:t>
      </w:r>
      <w:r>
        <w:rPr>
          <w:rFonts w:ascii="Arial" w:eastAsia="Arial" w:hAnsi="Arial"/>
          <w:color w:val="000000"/>
          <w:sz w:val="14"/>
        </w:rPr>
        <w:t>Afrasyab Altaf, Cardiology Department, Rehman Medical Institute, 5/B-2, Hayatabad, Peshawar, Pakistan,</w:t>
      </w:r>
    </w:p>
    <w:p w:rsidR="00760D48" w:rsidRDefault="00760D48" w:rsidP="00760D48">
      <w:pPr>
        <w:spacing w:line="60" w:lineRule="exact"/>
        <w:rPr>
          <w:rFonts w:ascii="Times New Roman" w:eastAsia="Times New Roman" w:hAnsi="Times New Roman"/>
        </w:rPr>
      </w:pPr>
    </w:p>
    <w:p w:rsidR="00760D48" w:rsidRDefault="00760D48" w:rsidP="00760D48">
      <w:pPr>
        <w:spacing w:line="0" w:lineRule="atLeast"/>
        <w:rPr>
          <w:rFonts w:ascii="Arial" w:eastAsia="Arial" w:hAnsi="Arial"/>
          <w:sz w:val="16"/>
        </w:rPr>
      </w:pPr>
      <w:r>
        <w:rPr>
          <w:rFonts w:ascii="Arial" w:eastAsia="Arial" w:hAnsi="Arial"/>
          <w:sz w:val="16"/>
        </w:rPr>
        <w:t xml:space="preserve">e-mail: </w:t>
      </w:r>
      <w:hyperlink r:id="rId142" w:history="1">
        <w:r>
          <w:rPr>
            <w:rFonts w:ascii="Arial" w:eastAsia="Arial" w:hAnsi="Arial"/>
            <w:sz w:val="16"/>
          </w:rPr>
          <w:t>afrasyabaltaf@gmail.com</w:t>
        </w:r>
      </w:hyperlink>
    </w:p>
    <w:p w:rsidR="00760D48" w:rsidRDefault="00760D48" w:rsidP="00760D48">
      <w:pPr>
        <w:spacing w:line="0" w:lineRule="atLeast"/>
        <w:rPr>
          <w:rFonts w:ascii="Arial" w:eastAsia="Arial" w:hAnsi="Arial"/>
          <w:sz w:val="16"/>
        </w:rPr>
        <w:sectPr w:rsidR="00760D48">
          <w:type w:val="continuous"/>
          <w:pgSz w:w="11620" w:h="16441"/>
          <w:pgMar w:top="623" w:right="1302" w:bottom="150" w:left="960" w:header="0" w:footer="0" w:gutter="0"/>
          <w:cols w:space="0" w:equalWidth="0">
            <w:col w:w="93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91" w:lineRule="exact"/>
        <w:rPr>
          <w:rFonts w:ascii="Times New Roman" w:eastAsia="Times New Roman" w:hAnsi="Times New Roman"/>
        </w:rPr>
      </w:pPr>
    </w:p>
    <w:p w:rsidR="00760D48" w:rsidRDefault="00760D48" w:rsidP="00760D48">
      <w:pPr>
        <w:tabs>
          <w:tab w:val="left" w:pos="3260"/>
        </w:tabs>
        <w:spacing w:line="0" w:lineRule="atLeast"/>
        <w:ind w:left="20"/>
        <w:rPr>
          <w:rFonts w:ascii="Arial" w:eastAsia="Arial" w:hAnsi="Arial"/>
          <w:color w:val="58595B"/>
          <w:sz w:val="14"/>
        </w:rPr>
      </w:pPr>
      <w:r>
        <w:rPr>
          <w:rFonts w:ascii="Franklin Gothic Book" w:eastAsia="Franklin Gothic Book" w:hAnsi="Franklin Gothic Book"/>
          <w:sz w:val="16"/>
        </w:rPr>
        <w:t>58</w:t>
      </w:r>
      <w:r>
        <w:rPr>
          <w:rFonts w:ascii="Times New Roman" w:eastAsia="Times New Roman" w:hAnsi="Times New Roman"/>
        </w:rPr>
        <w:tab/>
      </w:r>
      <w:r>
        <w:rPr>
          <w:rFonts w:ascii="Arial" w:eastAsia="Arial" w:hAnsi="Arial"/>
          <w:color w:val="58595B"/>
          <w:sz w:val="14"/>
        </w:rPr>
        <w:t>www.journals.viamedica.pl/acta_angiologica</w:t>
      </w:r>
    </w:p>
    <w:p w:rsidR="00760D48" w:rsidRDefault="00760D48" w:rsidP="00760D48">
      <w:pPr>
        <w:tabs>
          <w:tab w:val="left" w:pos="3260"/>
        </w:tabs>
        <w:spacing w:line="0" w:lineRule="atLeast"/>
        <w:ind w:left="20"/>
        <w:rPr>
          <w:rFonts w:ascii="Arial" w:eastAsia="Arial" w:hAnsi="Arial"/>
          <w:color w:val="58595B"/>
          <w:sz w:val="14"/>
        </w:rPr>
        <w:sectPr w:rsidR="00760D48">
          <w:type w:val="continuous"/>
          <w:pgSz w:w="11620" w:h="16441"/>
          <w:pgMar w:top="623" w:right="1302" w:bottom="150" w:left="960" w:header="0" w:footer="0" w:gutter="0"/>
          <w:cols w:space="0" w:equalWidth="0">
            <w:col w:w="9360"/>
          </w:cols>
          <w:docGrid w:linePitch="360"/>
        </w:sectPr>
      </w:pPr>
    </w:p>
    <w:p w:rsidR="00760D48" w:rsidRDefault="00760D48" w:rsidP="00760D48">
      <w:pPr>
        <w:spacing w:line="0" w:lineRule="atLeast"/>
        <w:ind w:left="4600"/>
        <w:rPr>
          <w:rFonts w:ascii="Arial" w:eastAsia="Arial" w:hAnsi="Arial"/>
          <w:b/>
          <w:sz w:val="15"/>
        </w:rPr>
      </w:pPr>
      <w:r>
        <w:rPr>
          <w:rFonts w:ascii="Arial" w:eastAsia="Arial" w:hAnsi="Arial"/>
          <w:sz w:val="15"/>
        </w:rPr>
        <w:lastRenderedPageBreak/>
        <w:t xml:space="preserve">Afrasyab Altaf et al., </w:t>
      </w:r>
      <w:r>
        <w:rPr>
          <w:rFonts w:ascii="Arial" w:eastAsia="Arial" w:hAnsi="Arial"/>
          <w:b/>
          <w:sz w:val="15"/>
        </w:rPr>
        <w:t>Serum potassium and coronary artery disease</w:t>
      </w:r>
    </w:p>
    <w:p w:rsidR="00760D48" w:rsidRDefault="001D2EC7" w:rsidP="00760D48">
      <w:pPr>
        <w:spacing w:line="20" w:lineRule="exact"/>
        <w:rPr>
          <w:rFonts w:ascii="Times New Roman" w:eastAsia="Times New Roman" w:hAnsi="Times New Roman"/>
        </w:rPr>
      </w:pPr>
      <w:r>
        <w:rPr>
          <w:rFonts w:ascii="Arial" w:eastAsia="Arial" w:hAnsi="Arial"/>
          <w:b/>
          <w:sz w:val="15"/>
        </w:rPr>
        <w:pict>
          <v:line id="_x0000_s1086" style="position:absolute;z-index:-251595776" from=".15pt,4.95pt" to="467.9pt,4.95pt" o:userdrawn="t" strokecolor="#6d6e71" strokeweight=".5pt"/>
        </w:pict>
      </w:r>
    </w:p>
    <w:p w:rsidR="00760D48" w:rsidRDefault="00760D48" w:rsidP="00760D48">
      <w:pPr>
        <w:spacing w:line="20" w:lineRule="exact"/>
        <w:rPr>
          <w:rFonts w:ascii="Times New Roman" w:eastAsia="Times New Roman" w:hAnsi="Times New Roman"/>
        </w:rPr>
        <w:sectPr w:rsidR="00760D48">
          <w:pgSz w:w="11620" w:h="16441"/>
          <w:pgMar w:top="918" w:right="962" w:bottom="144" w:left="1300" w:header="0" w:footer="0" w:gutter="0"/>
          <w:cols w:space="0" w:equalWidth="0">
            <w:col w:w="9360"/>
          </w:cols>
          <w:docGrid w:linePitch="360"/>
        </w:sectPr>
      </w:pPr>
    </w:p>
    <w:p w:rsidR="00760D48" w:rsidRDefault="00760D48" w:rsidP="00760D48">
      <w:pPr>
        <w:spacing w:line="385" w:lineRule="exact"/>
        <w:rPr>
          <w:rFonts w:ascii="Times New Roman" w:eastAsia="Times New Roman" w:hAnsi="Times New Roman"/>
        </w:rPr>
      </w:pPr>
    </w:p>
    <w:p w:rsidR="00760D48" w:rsidRDefault="00760D48" w:rsidP="00760D48">
      <w:pPr>
        <w:spacing w:line="260" w:lineRule="auto"/>
        <w:jc w:val="both"/>
        <w:rPr>
          <w:rFonts w:ascii="Arial" w:eastAsia="Arial" w:hAnsi="Arial"/>
        </w:rPr>
      </w:pPr>
      <w:r>
        <w:rPr>
          <w:rFonts w:ascii="Arial" w:eastAsia="Arial" w:hAnsi="Arial"/>
        </w:rPr>
        <w:t>gregation and arterial thrombus formation, and hence coronary atherosclerosis [7–10].</w:t>
      </w:r>
    </w:p>
    <w:p w:rsidR="00760D48" w:rsidRDefault="00760D48" w:rsidP="00760D48">
      <w:pPr>
        <w:spacing w:line="2" w:lineRule="exact"/>
        <w:rPr>
          <w:rFonts w:ascii="Times New Roman" w:eastAsia="Times New Roman" w:hAnsi="Times New Roman"/>
        </w:rPr>
      </w:pPr>
    </w:p>
    <w:p w:rsidR="00760D48" w:rsidRDefault="00760D48" w:rsidP="00760D48">
      <w:pPr>
        <w:spacing w:line="296" w:lineRule="auto"/>
        <w:ind w:firstLine="283"/>
        <w:jc w:val="both"/>
        <w:rPr>
          <w:rFonts w:ascii="Arial" w:eastAsia="Arial" w:hAnsi="Arial"/>
          <w:sz w:val="18"/>
        </w:rPr>
      </w:pPr>
      <w:r>
        <w:rPr>
          <w:rFonts w:ascii="Arial" w:eastAsia="Arial" w:hAnsi="Arial"/>
          <w:sz w:val="18"/>
        </w:rPr>
        <w:t>However, a few recent studies [11, 12] have demon-strated the correlation between elevated serum po-tassium levels and increased atherosclerosis as well as the severity of coronary artery disease, which would contradict the above-given explanations. So, keeping in mind the results of such studies, we hypothesized that lower serum potassium may be associated with an increased risk of cardiovascular events and mortality.</w:t>
      </w:r>
    </w:p>
    <w:p w:rsidR="00760D48" w:rsidRDefault="00760D48" w:rsidP="00760D48">
      <w:pPr>
        <w:spacing w:line="167" w:lineRule="exact"/>
        <w:rPr>
          <w:rFonts w:ascii="Times New Roman" w:eastAsia="Times New Roman" w:hAnsi="Times New Roman"/>
        </w:rPr>
      </w:pPr>
    </w:p>
    <w:p w:rsidR="00760D48" w:rsidRDefault="00760D48" w:rsidP="00760D48">
      <w:pPr>
        <w:spacing w:line="0" w:lineRule="atLeast"/>
        <w:ind w:left="1040"/>
        <w:rPr>
          <w:rFonts w:ascii="Arial" w:eastAsia="Arial" w:hAnsi="Arial"/>
          <w:b/>
          <w:color w:val="00547D"/>
          <w:sz w:val="24"/>
        </w:rPr>
      </w:pPr>
      <w:r>
        <w:rPr>
          <w:rFonts w:ascii="Arial" w:eastAsia="Arial" w:hAnsi="Arial"/>
          <w:b/>
          <w:color w:val="00547D"/>
          <w:sz w:val="24"/>
        </w:rPr>
        <w:t>Material and methods</w:t>
      </w:r>
    </w:p>
    <w:p w:rsidR="00760D48" w:rsidRDefault="00760D48" w:rsidP="00760D48">
      <w:pPr>
        <w:spacing w:line="263" w:lineRule="exact"/>
        <w:rPr>
          <w:rFonts w:ascii="Times New Roman" w:eastAsia="Times New Roman" w:hAnsi="Times New Roman"/>
        </w:rPr>
      </w:pPr>
    </w:p>
    <w:p w:rsidR="00760D48" w:rsidRDefault="00760D48" w:rsidP="00760D48">
      <w:pPr>
        <w:spacing w:line="309" w:lineRule="auto"/>
        <w:ind w:firstLine="283"/>
        <w:jc w:val="both"/>
        <w:rPr>
          <w:rFonts w:ascii="Arial" w:eastAsia="Arial" w:hAnsi="Arial"/>
          <w:sz w:val="17"/>
        </w:rPr>
      </w:pPr>
      <w:r>
        <w:rPr>
          <w:rFonts w:ascii="Arial" w:eastAsia="Arial" w:hAnsi="Arial"/>
          <w:sz w:val="17"/>
        </w:rPr>
        <w:t>This was a cross-sectional (for correlation) and co-hort (for MACE) study carried out at cardiology depart-ment of Rehman Medical Institute, Peshawar, which is one of the biggest tertiary care hospitals in KPK, Pakistan providing 24/7 cath. lab facility, from July 2016 to August 2018, a period of 26 months. A total of 622 patients were included in the study population using universal sampling technique. All those patients were included who gave consent for inclusion and were admitted or discharged with the diagnosis of ischemic heart disease fulfilling the criteria of either stable angina, unstable angina or myo-cardial infarction [13]. Patients who were admitted due to non-cardiac causes like severe pneumonia, ARDS, and renal failure were excluded from the study population. All baseline demographic characteristics including age, gender, diabetes, hypertension, body mass index (BMI), smoking, alcohol consumption, and medication use were noted for each patient from history and hospital records. For measured variables, blood samples were taken at admission and sent for analysis of serum potassium, hemoglobin level, troponin level, CRP level, creatinine, and urea, total cholesterol (TC), low-density lipopro-tein cholesterol (LDL), triglyceride (TG), high-density lipoprotein cholesterol (HDL) levels (Cobas B221 and 6000, Roche-Switzerland). All cases were divided into two groups (Low and High potassium groups) based on median serum potassium levels.</w:t>
      </w:r>
    </w:p>
    <w:p w:rsidR="00760D48" w:rsidRDefault="00760D48" w:rsidP="00760D48">
      <w:pPr>
        <w:spacing w:line="180" w:lineRule="exact"/>
        <w:rPr>
          <w:rFonts w:ascii="Times New Roman" w:eastAsia="Times New Roman" w:hAnsi="Times New Roman"/>
        </w:rPr>
      </w:pPr>
    </w:p>
    <w:p w:rsidR="00760D48" w:rsidRDefault="00760D48" w:rsidP="00760D48">
      <w:pPr>
        <w:spacing w:line="0" w:lineRule="atLeast"/>
        <w:rPr>
          <w:rFonts w:ascii="Arial" w:eastAsia="Arial" w:hAnsi="Arial"/>
          <w:b/>
          <w:color w:val="4E7598"/>
        </w:rPr>
      </w:pPr>
      <w:r>
        <w:rPr>
          <w:rFonts w:ascii="Arial" w:eastAsia="Arial" w:hAnsi="Arial"/>
          <w:b/>
          <w:color w:val="4E7598"/>
        </w:rPr>
        <w:t>Definition of risk factors</w:t>
      </w:r>
    </w:p>
    <w:p w:rsidR="00760D48" w:rsidRDefault="00760D48" w:rsidP="00760D48">
      <w:pPr>
        <w:spacing w:line="0" w:lineRule="atLeast"/>
        <w:rPr>
          <w:rFonts w:ascii="Arial" w:eastAsia="Arial" w:hAnsi="Arial"/>
          <w:b/>
          <w:color w:val="4E7598"/>
        </w:rPr>
      </w:pPr>
      <w:r>
        <w:rPr>
          <w:rFonts w:ascii="Arial" w:eastAsia="Arial" w:hAnsi="Arial"/>
          <w:b/>
          <w:color w:val="4E7598"/>
        </w:rPr>
        <w:t>and clinical syndromes</w:t>
      </w:r>
    </w:p>
    <w:p w:rsidR="00760D48" w:rsidRDefault="00760D48" w:rsidP="00760D48">
      <w:pPr>
        <w:spacing w:line="18" w:lineRule="exact"/>
        <w:rPr>
          <w:rFonts w:ascii="Times New Roman" w:eastAsia="Times New Roman" w:hAnsi="Times New Roman"/>
        </w:rPr>
      </w:pPr>
    </w:p>
    <w:p w:rsidR="00760D48" w:rsidRDefault="00760D48" w:rsidP="00760D48">
      <w:pPr>
        <w:spacing w:line="294" w:lineRule="auto"/>
        <w:ind w:firstLine="283"/>
        <w:jc w:val="both"/>
        <w:rPr>
          <w:rFonts w:ascii="Arial" w:eastAsia="Arial" w:hAnsi="Arial"/>
          <w:sz w:val="18"/>
        </w:rPr>
      </w:pPr>
      <w:r>
        <w:rPr>
          <w:rFonts w:ascii="Arial" w:eastAsia="Arial" w:hAnsi="Arial"/>
          <w:sz w:val="18"/>
        </w:rPr>
        <w:t>Hypercholesterolemia was diagnosed in patients who had been given lipid-lowering medication or had a history of total cholesterol levels &gt; 200 mg/dl [14]. Pa-tients were diagnosed as hypertensive if they were doc-umented to have a systolic blood pressure 140 mm Hg or a diastolic blood pressure 90 mm Hg on more than two occasions (but not during the angiogram proce-dure) or were already on antihypertensive therapy [15]. Patients were diagnosed with diabetes mellitus if they had a documented fasting glucose value &gt; 126 mg/dl or HbA1C of &gt;7 on one or more occasion or were tak-</w:t>
      </w:r>
    </w:p>
    <w:p w:rsidR="00760D48" w:rsidRDefault="00760D48" w:rsidP="00760D48">
      <w:pPr>
        <w:spacing w:line="385" w:lineRule="exact"/>
        <w:rPr>
          <w:rFonts w:ascii="Times New Roman" w:eastAsia="Times New Roman" w:hAnsi="Times New Roman"/>
        </w:rPr>
      </w:pPr>
      <w:r>
        <w:rPr>
          <w:rFonts w:ascii="Arial" w:eastAsia="Arial" w:hAnsi="Arial"/>
          <w:sz w:val="18"/>
        </w:rPr>
        <w:br w:type="column"/>
      </w:r>
    </w:p>
    <w:p w:rsidR="00760D48" w:rsidRDefault="00760D48" w:rsidP="00760D48">
      <w:pPr>
        <w:spacing w:line="290" w:lineRule="auto"/>
        <w:jc w:val="both"/>
        <w:rPr>
          <w:rFonts w:ascii="Arial" w:eastAsia="Arial" w:hAnsi="Arial"/>
          <w:sz w:val="18"/>
        </w:rPr>
      </w:pPr>
      <w:r>
        <w:rPr>
          <w:rFonts w:ascii="Arial" w:eastAsia="Arial" w:hAnsi="Arial"/>
          <w:sz w:val="18"/>
        </w:rPr>
        <w:t>ing insulin or oral hypoglycemic medications for diabe-tes mellitus. Myocardial infarction (MI) on presentation was diagnosed by a history of chest pain, electrocar-diogram showing new ST-segment/T wave changes or new pathological Q waves or new left bundle branch block (LBBB), echocardiographic evidence of new regional wall motion abnormality and two recordings of hs-troponin levels showing rise and/or fall in values with at least one value above 99</w:t>
      </w:r>
      <w:r>
        <w:rPr>
          <w:rFonts w:ascii="Arial" w:eastAsia="Arial" w:hAnsi="Arial"/>
          <w:vertAlign w:val="superscript"/>
        </w:rPr>
        <w:t>th</w:t>
      </w:r>
      <w:r>
        <w:rPr>
          <w:rFonts w:ascii="Arial" w:eastAsia="Arial" w:hAnsi="Arial"/>
          <w:sz w:val="18"/>
        </w:rPr>
        <w:t xml:space="preserve"> percentile upper reference limit (URL). Body mass index was calculated by dividing the weight of the patient in kilograms by the square of height in meters. Active Smokers were defined as someone who smoked &gt; 100 cigarettes, cigars, or pipes in their lifetime and still smoked in the last 28 days. Smokers were classified as former only if they had smoked &gt; 100 cigarettes, cigars, or pipes in their lifetime and has not smoked in the last 28 days preceding the date of angiography [16].</w:t>
      </w:r>
    </w:p>
    <w:p w:rsidR="00760D48" w:rsidRDefault="00760D48" w:rsidP="00760D48">
      <w:pPr>
        <w:spacing w:line="199" w:lineRule="exact"/>
        <w:rPr>
          <w:rFonts w:ascii="Times New Roman" w:eastAsia="Times New Roman" w:hAnsi="Times New Roman"/>
        </w:rPr>
      </w:pPr>
    </w:p>
    <w:p w:rsidR="00760D48" w:rsidRDefault="00760D48" w:rsidP="00760D48">
      <w:pPr>
        <w:spacing w:line="0" w:lineRule="atLeast"/>
        <w:rPr>
          <w:rFonts w:ascii="Arial" w:eastAsia="Arial" w:hAnsi="Arial"/>
          <w:b/>
          <w:color w:val="4E7598"/>
        </w:rPr>
      </w:pPr>
      <w:r>
        <w:rPr>
          <w:rFonts w:ascii="Arial" w:eastAsia="Arial" w:hAnsi="Arial"/>
          <w:b/>
          <w:color w:val="4E7598"/>
        </w:rPr>
        <w:t>Angiographic evaluation</w:t>
      </w:r>
    </w:p>
    <w:p w:rsidR="00760D48" w:rsidRDefault="00760D48" w:rsidP="00760D48">
      <w:pPr>
        <w:spacing w:line="17" w:lineRule="exact"/>
        <w:rPr>
          <w:rFonts w:ascii="Times New Roman" w:eastAsia="Times New Roman" w:hAnsi="Times New Roman"/>
        </w:rPr>
      </w:pPr>
    </w:p>
    <w:p w:rsidR="00760D48" w:rsidRDefault="00760D48" w:rsidP="00760D48">
      <w:pPr>
        <w:spacing w:line="306" w:lineRule="auto"/>
        <w:ind w:firstLine="283"/>
        <w:jc w:val="both"/>
        <w:rPr>
          <w:rFonts w:ascii="Arial" w:eastAsia="Arial" w:hAnsi="Arial"/>
          <w:sz w:val="17"/>
        </w:rPr>
      </w:pPr>
      <w:r>
        <w:rPr>
          <w:rFonts w:ascii="Arial" w:eastAsia="Arial" w:hAnsi="Arial"/>
          <w:sz w:val="17"/>
        </w:rPr>
        <w:t>Coronary angiography was performed with Selding-er technique in all the patients [17]. All angiographic assessments were done by two independent cardiolo-gists. In case of difference in opinion, a third cardiologist was consulted. Patients were then divided into a con-trol group (normal coronary vessels) and cases group (coronary arteries with the disease). Control group included 100 subjects and 622 cases with coronary artery stenosis ≥ 50% of the vessel diameter were included in the CAD group (622 cases: 371 men and 251 women). SYNTAX and Gensini scoring systems were used to assess the severity of coronary stenosis in all cases. In SYNTAX score calculation each coronary lesion producing ≥ 50% diameter stenosis in vessels</w:t>
      </w:r>
    </w:p>
    <w:p w:rsidR="00760D48" w:rsidRDefault="00760D48" w:rsidP="00760D48">
      <w:pPr>
        <w:spacing w:line="11" w:lineRule="exact"/>
        <w:rPr>
          <w:rFonts w:ascii="Times New Roman" w:eastAsia="Times New Roman" w:hAnsi="Times New Roman"/>
        </w:rPr>
      </w:pPr>
    </w:p>
    <w:p w:rsidR="00760D48" w:rsidRDefault="00760D48" w:rsidP="00760D48">
      <w:pPr>
        <w:widowControl/>
        <w:numPr>
          <w:ilvl w:val="0"/>
          <w:numId w:val="1"/>
        </w:numPr>
        <w:tabs>
          <w:tab w:val="left" w:pos="184"/>
        </w:tabs>
        <w:autoSpaceDE/>
        <w:autoSpaceDN/>
        <w:spacing w:line="260" w:lineRule="auto"/>
        <w:ind w:firstLine="8"/>
        <w:jc w:val="both"/>
        <w:rPr>
          <w:rFonts w:ascii="Arial" w:eastAsia="Arial" w:hAnsi="Arial"/>
        </w:rPr>
      </w:pPr>
      <w:r>
        <w:rPr>
          <w:rFonts w:ascii="Arial" w:eastAsia="Arial" w:hAnsi="Arial"/>
        </w:rPr>
        <w:t>1.5 mm was scored separately using the SYNTAX score algorithm available on the Internet from the and added to obtain the overall SYNTAX score. Gensini score is based on the severity of lesion narrowing, number of lesions, lesion location, and influence of collaterals [18, 19].</w:t>
      </w:r>
    </w:p>
    <w:p w:rsidR="00760D48" w:rsidRDefault="00760D48" w:rsidP="00760D48">
      <w:pPr>
        <w:spacing w:line="5" w:lineRule="exact"/>
        <w:rPr>
          <w:rFonts w:ascii="Arial" w:eastAsia="Arial" w:hAnsi="Arial"/>
        </w:rPr>
      </w:pPr>
    </w:p>
    <w:p w:rsidR="00760D48" w:rsidRDefault="00760D48" w:rsidP="00760D48">
      <w:pPr>
        <w:spacing w:line="260" w:lineRule="auto"/>
        <w:ind w:firstLine="283"/>
        <w:jc w:val="both"/>
        <w:rPr>
          <w:rFonts w:ascii="Arial" w:eastAsia="Arial" w:hAnsi="Arial"/>
        </w:rPr>
      </w:pPr>
      <w:r>
        <w:rPr>
          <w:rFonts w:ascii="Arial" w:eastAsia="Arial" w:hAnsi="Arial"/>
        </w:rPr>
        <w:t>Major adverse cardiac events (MACE) for the pur-poses of follow-up were as follows: (1) acute myocardial infarction; (2) decompensated heart failure; (3) target vessel revascularization and (4) mortality due to cardiac disease [20].</w:t>
      </w:r>
    </w:p>
    <w:p w:rsidR="00760D48" w:rsidRDefault="00760D48" w:rsidP="00760D48">
      <w:pPr>
        <w:spacing w:line="4" w:lineRule="exact"/>
        <w:rPr>
          <w:rFonts w:ascii="Arial" w:eastAsia="Arial" w:hAnsi="Arial"/>
        </w:rPr>
      </w:pPr>
    </w:p>
    <w:p w:rsidR="00760D48" w:rsidRDefault="00760D48" w:rsidP="00760D48">
      <w:pPr>
        <w:spacing w:line="322" w:lineRule="auto"/>
        <w:ind w:firstLine="283"/>
        <w:jc w:val="both"/>
        <w:rPr>
          <w:rFonts w:ascii="Arial" w:eastAsia="Arial" w:hAnsi="Arial"/>
          <w:sz w:val="17"/>
        </w:rPr>
      </w:pPr>
      <w:r>
        <w:rPr>
          <w:rFonts w:ascii="Arial" w:eastAsia="Arial" w:hAnsi="Arial"/>
          <w:sz w:val="17"/>
        </w:rPr>
        <w:t>This study was evaluated and approved by the Re-search evaluation and Ethics Committee of Rehman Med-ical Institute. The study abided by the principles of the Declaration of Helsinki. Written and informed consent was obtained from each patient included in the study.</w:t>
      </w:r>
    </w:p>
    <w:p w:rsidR="00760D48" w:rsidRDefault="00760D48" w:rsidP="00760D48">
      <w:pPr>
        <w:spacing w:line="167" w:lineRule="exact"/>
        <w:rPr>
          <w:rFonts w:ascii="Times New Roman" w:eastAsia="Times New Roman" w:hAnsi="Times New Roman"/>
        </w:rPr>
      </w:pPr>
    </w:p>
    <w:p w:rsidR="00760D48" w:rsidRDefault="00760D48" w:rsidP="00760D48">
      <w:pPr>
        <w:spacing w:line="0" w:lineRule="atLeast"/>
        <w:rPr>
          <w:rFonts w:ascii="Arial" w:eastAsia="Arial" w:hAnsi="Arial"/>
          <w:b/>
          <w:color w:val="4E7598"/>
        </w:rPr>
      </w:pPr>
      <w:r>
        <w:rPr>
          <w:rFonts w:ascii="Arial" w:eastAsia="Arial" w:hAnsi="Arial"/>
          <w:b/>
          <w:color w:val="4E7598"/>
        </w:rPr>
        <w:t>Statistical analysis</w:t>
      </w:r>
    </w:p>
    <w:p w:rsidR="00760D48" w:rsidRDefault="00760D48" w:rsidP="00760D48">
      <w:pPr>
        <w:spacing w:line="17" w:lineRule="exact"/>
        <w:rPr>
          <w:rFonts w:ascii="Times New Roman" w:eastAsia="Times New Roman" w:hAnsi="Times New Roman"/>
        </w:rPr>
      </w:pPr>
    </w:p>
    <w:p w:rsidR="00760D48" w:rsidRDefault="00760D48" w:rsidP="00760D48">
      <w:pPr>
        <w:spacing w:line="334" w:lineRule="auto"/>
        <w:rPr>
          <w:rFonts w:ascii="Arial" w:eastAsia="Arial" w:hAnsi="Arial"/>
          <w:sz w:val="18"/>
        </w:rPr>
      </w:pPr>
      <w:r>
        <w:rPr>
          <w:rFonts w:ascii="Arial" w:eastAsia="Arial" w:hAnsi="Arial"/>
          <w:sz w:val="18"/>
        </w:rPr>
        <w:t>Data were analyzed for normality using the Kolmogo-rov-Smirnov (KS) test. Continuous data are presented</w:t>
      </w:r>
    </w:p>
    <w:p w:rsidR="00760D48" w:rsidRDefault="00760D48" w:rsidP="00760D48">
      <w:pPr>
        <w:spacing w:line="334" w:lineRule="auto"/>
        <w:rPr>
          <w:rFonts w:ascii="Arial" w:eastAsia="Arial" w:hAnsi="Arial"/>
          <w:sz w:val="18"/>
        </w:rPr>
        <w:sectPr w:rsidR="00760D48">
          <w:type w:val="continuous"/>
          <w:pgSz w:w="11620" w:h="16441"/>
          <w:pgMar w:top="918" w:right="962" w:bottom="144" w:left="1300" w:header="0" w:footer="0" w:gutter="0"/>
          <w:cols w:num="2" w:space="0" w:equalWidth="0">
            <w:col w:w="4460" w:space="440"/>
            <w:col w:w="44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98" w:lineRule="exact"/>
        <w:rPr>
          <w:rFonts w:ascii="Times New Roman" w:eastAsia="Times New Roman" w:hAnsi="Times New Roman"/>
        </w:rPr>
      </w:pPr>
    </w:p>
    <w:p w:rsidR="00760D48" w:rsidRDefault="00760D48" w:rsidP="00760D48">
      <w:pPr>
        <w:tabs>
          <w:tab w:val="left" w:pos="9160"/>
        </w:tabs>
        <w:spacing w:line="0" w:lineRule="atLeast"/>
        <w:ind w:left="3280"/>
        <w:rPr>
          <w:rFonts w:ascii="Arial" w:eastAsia="Arial" w:hAnsi="Arial"/>
          <w:sz w:val="16"/>
        </w:rPr>
      </w:pPr>
      <w:r>
        <w:rPr>
          <w:rFonts w:ascii="Arial" w:eastAsia="Arial" w:hAnsi="Arial"/>
          <w:sz w:val="16"/>
        </w:rPr>
        <w:t>www.journals.viamedica.pl/acta_angiologica</w:t>
      </w:r>
      <w:r>
        <w:rPr>
          <w:rFonts w:ascii="Times New Roman" w:eastAsia="Times New Roman" w:hAnsi="Times New Roman"/>
        </w:rPr>
        <w:tab/>
      </w:r>
      <w:r>
        <w:rPr>
          <w:rFonts w:ascii="Arial" w:eastAsia="Arial" w:hAnsi="Arial"/>
          <w:sz w:val="16"/>
        </w:rPr>
        <w:t>59</w:t>
      </w:r>
    </w:p>
    <w:p w:rsidR="00760D48" w:rsidRDefault="00760D48" w:rsidP="00760D48">
      <w:pPr>
        <w:tabs>
          <w:tab w:val="left" w:pos="9160"/>
        </w:tabs>
        <w:spacing w:line="0" w:lineRule="atLeast"/>
        <w:ind w:left="3280"/>
        <w:rPr>
          <w:rFonts w:ascii="Arial" w:eastAsia="Arial" w:hAnsi="Arial"/>
          <w:sz w:val="16"/>
        </w:rPr>
        <w:sectPr w:rsidR="00760D48">
          <w:type w:val="continuous"/>
          <w:pgSz w:w="11620" w:h="16441"/>
          <w:pgMar w:top="918" w:right="962" w:bottom="144" w:left="1300" w:header="0" w:footer="0" w:gutter="0"/>
          <w:cols w:space="0" w:equalWidth="0">
            <w:col w:w="9360"/>
          </w:cols>
          <w:docGrid w:linePitch="360"/>
        </w:sectPr>
      </w:pPr>
    </w:p>
    <w:p w:rsidR="00760D48" w:rsidRDefault="00760D48" w:rsidP="00760D48">
      <w:pPr>
        <w:spacing w:line="0" w:lineRule="atLeast"/>
        <w:rPr>
          <w:rFonts w:ascii="Arial" w:eastAsia="Arial" w:hAnsi="Arial"/>
          <w:sz w:val="16"/>
        </w:rPr>
      </w:pPr>
      <w:r>
        <w:rPr>
          <w:rFonts w:ascii="Arial" w:eastAsia="Arial" w:hAnsi="Arial"/>
          <w:sz w:val="16"/>
        </w:rPr>
        <w:lastRenderedPageBreak/>
        <w:t>Acta Angiol, 2020, Vol. 26, No. 2</w:t>
      </w:r>
    </w:p>
    <w:p w:rsidR="00760D48" w:rsidRDefault="001D2EC7" w:rsidP="00760D48">
      <w:pPr>
        <w:spacing w:line="20" w:lineRule="exact"/>
        <w:rPr>
          <w:rFonts w:ascii="Times New Roman" w:eastAsia="Times New Roman" w:hAnsi="Times New Roman"/>
        </w:rPr>
      </w:pPr>
      <w:r>
        <w:rPr>
          <w:rFonts w:ascii="Arial" w:eastAsia="Arial" w:hAnsi="Arial"/>
          <w:sz w:val="16"/>
        </w:rPr>
        <w:pict>
          <v:line id="_x0000_s1087" style="position:absolute;z-index:-251594752" from=".2pt,4.35pt" to="467.9pt,4.35pt" o:userdrawn="t" strokecolor="#6d6e71" strokeweight=".5pt"/>
        </w:pict>
      </w:r>
    </w:p>
    <w:p w:rsidR="00760D48" w:rsidRDefault="00760D48" w:rsidP="00760D48">
      <w:pPr>
        <w:spacing w:line="357" w:lineRule="exact"/>
        <w:rPr>
          <w:rFonts w:ascii="Times New Roman" w:eastAsia="Times New Roman" w:hAnsi="Times New Roman"/>
        </w:rPr>
      </w:pPr>
    </w:p>
    <w:p w:rsidR="00760D48" w:rsidRDefault="00760D48" w:rsidP="00760D48">
      <w:pPr>
        <w:spacing w:line="0" w:lineRule="atLeast"/>
        <w:rPr>
          <w:rFonts w:ascii="Arial" w:eastAsia="Arial" w:hAnsi="Arial"/>
          <w:sz w:val="18"/>
        </w:rPr>
      </w:pPr>
      <w:r>
        <w:rPr>
          <w:rFonts w:ascii="Arial" w:eastAsia="Arial" w:hAnsi="Arial"/>
          <w:b/>
          <w:sz w:val="18"/>
        </w:rPr>
        <w:t xml:space="preserve">Table 1. </w:t>
      </w:r>
      <w:r>
        <w:rPr>
          <w:rFonts w:ascii="Arial" w:eastAsia="Arial" w:hAnsi="Arial"/>
          <w:sz w:val="18"/>
        </w:rPr>
        <w:t>Baseline characteristics and angiographic features of study groups based on serum potassium levels</w:t>
      </w:r>
    </w:p>
    <w:p w:rsidR="00760D48" w:rsidRDefault="00760D48" w:rsidP="00760D48">
      <w:pPr>
        <w:spacing w:line="20" w:lineRule="exact"/>
        <w:rPr>
          <w:rFonts w:ascii="Times New Roman" w:eastAsia="Times New Roman" w:hAnsi="Times New Roman"/>
        </w:rPr>
      </w:pPr>
      <w:r>
        <w:rPr>
          <w:rFonts w:ascii="Arial" w:eastAsia="Arial" w:hAnsi="Arial"/>
          <w:noProof/>
          <w:sz w:val="18"/>
          <w:lang w:bidi="ar-SA"/>
        </w:rPr>
        <w:drawing>
          <wp:anchor distT="0" distB="0" distL="114300" distR="114300" simplePos="0" relativeHeight="251722752" behindDoc="1" locked="0" layoutInCell="1" allowOverlap="1">
            <wp:simplePos x="0" y="0"/>
            <wp:positionH relativeFrom="column">
              <wp:posOffset>-6350</wp:posOffset>
            </wp:positionH>
            <wp:positionV relativeFrom="paragraph">
              <wp:posOffset>92075</wp:posOffset>
            </wp:positionV>
            <wp:extent cx="5958840" cy="1955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58840" cy="19558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12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700"/>
        <w:gridCol w:w="1300"/>
        <w:gridCol w:w="1540"/>
        <w:gridCol w:w="1240"/>
        <w:gridCol w:w="60"/>
        <w:gridCol w:w="1520"/>
      </w:tblGrid>
      <w:tr w:rsidR="00760D48" w:rsidTr="00AB18F6">
        <w:trPr>
          <w:trHeight w:val="268"/>
        </w:trPr>
        <w:tc>
          <w:tcPr>
            <w:tcW w:w="3700" w:type="dxa"/>
            <w:tcBorders>
              <w:top w:val="single" w:sz="8" w:space="0" w:color="78537B"/>
              <w:left w:val="single" w:sz="8" w:space="0" w:color="78537B"/>
              <w:right w:val="single" w:sz="8" w:space="0" w:color="78537B"/>
            </w:tcBorders>
            <w:shd w:val="clear" w:color="auto" w:fill="auto"/>
            <w:vAlign w:val="bottom"/>
          </w:tcPr>
          <w:p w:rsidR="00760D48" w:rsidRDefault="00760D48" w:rsidP="00AB18F6">
            <w:pPr>
              <w:spacing w:line="0" w:lineRule="atLeast"/>
              <w:ind w:left="80"/>
              <w:rPr>
                <w:rFonts w:ascii="Arial" w:eastAsia="Arial" w:hAnsi="Arial"/>
                <w:b/>
                <w:color w:val="FFFFFF"/>
                <w:sz w:val="16"/>
              </w:rPr>
            </w:pPr>
            <w:r>
              <w:rPr>
                <w:rFonts w:ascii="Arial" w:eastAsia="Arial" w:hAnsi="Arial"/>
                <w:b/>
                <w:color w:val="FFFFFF"/>
                <w:sz w:val="16"/>
              </w:rPr>
              <w:t>Variable</w:t>
            </w:r>
          </w:p>
        </w:tc>
        <w:tc>
          <w:tcPr>
            <w:tcW w:w="2840" w:type="dxa"/>
            <w:gridSpan w:val="2"/>
            <w:tcBorders>
              <w:top w:val="single" w:sz="8" w:space="0" w:color="78537B"/>
              <w:right w:val="single" w:sz="8" w:space="0" w:color="78537B"/>
            </w:tcBorders>
            <w:shd w:val="clear" w:color="auto" w:fill="auto"/>
            <w:vAlign w:val="bottom"/>
          </w:tcPr>
          <w:p w:rsidR="00760D48" w:rsidRDefault="00760D48" w:rsidP="00AB18F6">
            <w:pPr>
              <w:spacing w:line="0" w:lineRule="atLeast"/>
              <w:ind w:left="340"/>
              <w:rPr>
                <w:rFonts w:ascii="Arial" w:eastAsia="Arial" w:hAnsi="Arial"/>
                <w:b/>
                <w:color w:val="FFFFFF"/>
                <w:sz w:val="16"/>
              </w:rPr>
            </w:pPr>
            <w:r>
              <w:rPr>
                <w:rFonts w:ascii="Arial" w:eastAsia="Arial" w:hAnsi="Arial"/>
                <w:b/>
                <w:color w:val="FFFFFF"/>
                <w:sz w:val="16"/>
              </w:rPr>
              <w:t>Serum potassium (&lt; 4 mEq/l)</w:t>
            </w:r>
          </w:p>
        </w:tc>
        <w:tc>
          <w:tcPr>
            <w:tcW w:w="2820" w:type="dxa"/>
            <w:gridSpan w:val="3"/>
            <w:tcBorders>
              <w:top w:val="single" w:sz="8" w:space="0" w:color="78537B"/>
              <w:right w:val="single" w:sz="8" w:space="0" w:color="78537B"/>
            </w:tcBorders>
            <w:shd w:val="clear" w:color="auto" w:fill="auto"/>
            <w:vAlign w:val="bottom"/>
          </w:tcPr>
          <w:p w:rsidR="00760D48" w:rsidRDefault="00760D48" w:rsidP="00AB18F6">
            <w:pPr>
              <w:spacing w:line="0" w:lineRule="atLeast"/>
              <w:ind w:right="30"/>
              <w:jc w:val="right"/>
              <w:rPr>
                <w:rFonts w:ascii="Arial" w:eastAsia="Arial" w:hAnsi="Arial"/>
                <w:b/>
                <w:color w:val="FFFFFF"/>
                <w:w w:val="96"/>
                <w:sz w:val="16"/>
              </w:rPr>
            </w:pPr>
            <w:r>
              <w:rPr>
                <w:rFonts w:ascii="Arial" w:eastAsia="Arial" w:hAnsi="Arial"/>
                <w:b/>
                <w:color w:val="FFFFFF"/>
                <w:w w:val="96"/>
                <w:sz w:val="16"/>
              </w:rPr>
              <w:t>Serum potassium (4 mEq/l or above)</w:t>
            </w:r>
          </w:p>
        </w:tc>
      </w:tr>
      <w:tr w:rsidR="00760D48" w:rsidTr="00AB18F6">
        <w:trPr>
          <w:trHeight w:val="271"/>
        </w:trPr>
        <w:tc>
          <w:tcPr>
            <w:tcW w:w="3700" w:type="dxa"/>
            <w:tcBorders>
              <w:top w:val="single" w:sz="8" w:space="0" w:color="A288A3"/>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Number of patients</w:t>
            </w:r>
          </w:p>
        </w:tc>
        <w:tc>
          <w:tcPr>
            <w:tcW w:w="2840" w:type="dxa"/>
            <w:gridSpan w:val="2"/>
            <w:tcBorders>
              <w:top w:val="single" w:sz="8" w:space="0" w:color="A288A3"/>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349</w:t>
            </w:r>
          </w:p>
        </w:tc>
        <w:tc>
          <w:tcPr>
            <w:tcW w:w="1240" w:type="dxa"/>
            <w:tcBorders>
              <w:top w:val="single" w:sz="8" w:space="0" w:color="A288A3"/>
              <w:bottom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1580" w:type="dxa"/>
            <w:gridSpan w:val="2"/>
            <w:tcBorders>
              <w:top w:val="single" w:sz="8" w:space="0" w:color="A288A3"/>
              <w:bottom w:val="single" w:sz="8" w:space="0" w:color="808285"/>
              <w:right w:val="single" w:sz="8" w:space="0" w:color="808285"/>
            </w:tcBorders>
            <w:shd w:val="clear" w:color="auto" w:fill="auto"/>
            <w:vAlign w:val="bottom"/>
          </w:tcPr>
          <w:p w:rsidR="00760D48" w:rsidRDefault="00760D48" w:rsidP="00AB18F6">
            <w:pPr>
              <w:spacing w:line="0" w:lineRule="atLeast"/>
              <w:ind w:right="1170"/>
              <w:jc w:val="center"/>
              <w:rPr>
                <w:rFonts w:ascii="Arial" w:eastAsia="Arial" w:hAnsi="Arial"/>
                <w:w w:val="93"/>
                <w:sz w:val="18"/>
              </w:rPr>
            </w:pPr>
            <w:r>
              <w:rPr>
                <w:rFonts w:ascii="Arial" w:eastAsia="Arial" w:hAnsi="Arial"/>
                <w:w w:val="93"/>
                <w:sz w:val="18"/>
              </w:rPr>
              <w:t>273</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Age (years)</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63.72 ± 4.35</w:t>
            </w:r>
          </w:p>
        </w:tc>
        <w:tc>
          <w:tcPr>
            <w:tcW w:w="1300" w:type="dxa"/>
            <w:gridSpan w:val="2"/>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62.54</w:t>
            </w:r>
          </w:p>
        </w:tc>
        <w:tc>
          <w:tcPr>
            <w:tcW w:w="152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10.23</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Gender (m/f)</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210/139 (60/40%)</w:t>
            </w:r>
          </w:p>
        </w:tc>
        <w:tc>
          <w:tcPr>
            <w:tcW w:w="2820" w:type="dxa"/>
            <w:gridSpan w:val="3"/>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161/112 (59/41%)</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Ejection fraction (%)</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49.98</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10.55</w:t>
            </w:r>
          </w:p>
        </w:tc>
        <w:tc>
          <w:tcPr>
            <w:tcW w:w="1300" w:type="dxa"/>
            <w:gridSpan w:val="2"/>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49.87</w:t>
            </w:r>
          </w:p>
        </w:tc>
        <w:tc>
          <w:tcPr>
            <w:tcW w:w="152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10.35</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Blood sugar</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6"/>
                <w:sz w:val="18"/>
              </w:rPr>
            </w:pPr>
            <w:r>
              <w:rPr>
                <w:rFonts w:ascii="Arial" w:eastAsia="Arial" w:hAnsi="Arial"/>
                <w:w w:val="96"/>
                <w:sz w:val="18"/>
              </w:rPr>
              <w:t>147.31 ± 96.06</w:t>
            </w:r>
          </w:p>
        </w:tc>
        <w:tc>
          <w:tcPr>
            <w:tcW w:w="2820" w:type="dxa"/>
            <w:gridSpan w:val="3"/>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6"/>
                <w:sz w:val="18"/>
              </w:rPr>
            </w:pPr>
            <w:r>
              <w:rPr>
                <w:rFonts w:ascii="Arial" w:eastAsia="Arial" w:hAnsi="Arial"/>
                <w:w w:val="96"/>
                <w:sz w:val="18"/>
              </w:rPr>
              <w:t>146.40 ± 80.14</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Serum creatinine</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1.01</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0.23</w:t>
            </w:r>
          </w:p>
        </w:tc>
        <w:tc>
          <w:tcPr>
            <w:tcW w:w="1300" w:type="dxa"/>
            <w:gridSpan w:val="2"/>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1.01</w:t>
            </w:r>
          </w:p>
        </w:tc>
        <w:tc>
          <w:tcPr>
            <w:tcW w:w="152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0.22</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Hemoglobin (g/dl)</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14.2</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1.71</w:t>
            </w:r>
          </w:p>
        </w:tc>
        <w:tc>
          <w:tcPr>
            <w:tcW w:w="2820" w:type="dxa"/>
            <w:gridSpan w:val="3"/>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14.39 ± 1.72</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BNP (pg/ml)</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395.12</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629.35</w:t>
            </w:r>
          </w:p>
        </w:tc>
        <w:tc>
          <w:tcPr>
            <w:tcW w:w="1300" w:type="dxa"/>
            <w:gridSpan w:val="2"/>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487.12</w:t>
            </w:r>
          </w:p>
        </w:tc>
        <w:tc>
          <w:tcPr>
            <w:tcW w:w="152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800.72</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Hs-Troponin</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3443</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4414</w:t>
            </w:r>
          </w:p>
        </w:tc>
        <w:tc>
          <w:tcPr>
            <w:tcW w:w="1300" w:type="dxa"/>
            <w:gridSpan w:val="2"/>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4584</w:t>
            </w:r>
          </w:p>
        </w:tc>
        <w:tc>
          <w:tcPr>
            <w:tcW w:w="152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5796</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CRP</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8.00 ± 11.19</w:t>
            </w:r>
          </w:p>
        </w:tc>
        <w:tc>
          <w:tcPr>
            <w:tcW w:w="124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7.91</w:t>
            </w:r>
          </w:p>
        </w:tc>
        <w:tc>
          <w:tcPr>
            <w:tcW w:w="158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 10.59</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Diabetes</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122</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(35%)</w:t>
            </w:r>
          </w:p>
        </w:tc>
        <w:tc>
          <w:tcPr>
            <w:tcW w:w="124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85</w:t>
            </w:r>
          </w:p>
        </w:tc>
        <w:tc>
          <w:tcPr>
            <w:tcW w:w="158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(31%)</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Hypertension</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192</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(55%)</w:t>
            </w:r>
          </w:p>
        </w:tc>
        <w:tc>
          <w:tcPr>
            <w:tcW w:w="1300" w:type="dxa"/>
            <w:gridSpan w:val="2"/>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158</w:t>
            </w:r>
          </w:p>
        </w:tc>
        <w:tc>
          <w:tcPr>
            <w:tcW w:w="152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(58%)</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Smoking</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105</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(30%)</w:t>
            </w:r>
          </w:p>
        </w:tc>
        <w:tc>
          <w:tcPr>
            <w:tcW w:w="124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90</w:t>
            </w:r>
          </w:p>
        </w:tc>
        <w:tc>
          <w:tcPr>
            <w:tcW w:w="158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(33%)</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Hyperlipedemia</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98 (28%)</w:t>
            </w:r>
          </w:p>
        </w:tc>
        <w:tc>
          <w:tcPr>
            <w:tcW w:w="124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68</w:t>
            </w:r>
          </w:p>
        </w:tc>
        <w:tc>
          <w:tcPr>
            <w:tcW w:w="158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(25%)</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Anti-Platelet drugs</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345</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(99%)</w:t>
            </w:r>
          </w:p>
        </w:tc>
        <w:tc>
          <w:tcPr>
            <w:tcW w:w="124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273</w:t>
            </w:r>
          </w:p>
        </w:tc>
        <w:tc>
          <w:tcPr>
            <w:tcW w:w="158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(100%)</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Beta blocker</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311</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(89%)</w:t>
            </w:r>
          </w:p>
        </w:tc>
        <w:tc>
          <w:tcPr>
            <w:tcW w:w="1300" w:type="dxa"/>
            <w:gridSpan w:val="2"/>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235</w:t>
            </w:r>
          </w:p>
        </w:tc>
        <w:tc>
          <w:tcPr>
            <w:tcW w:w="152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(86%)</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RAAS inhibitors</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195</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(56%)</w:t>
            </w:r>
          </w:p>
        </w:tc>
        <w:tc>
          <w:tcPr>
            <w:tcW w:w="1300" w:type="dxa"/>
            <w:gridSpan w:val="2"/>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145</w:t>
            </w:r>
          </w:p>
        </w:tc>
        <w:tc>
          <w:tcPr>
            <w:tcW w:w="152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(53%)</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Nitrates</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188</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(54%)</w:t>
            </w:r>
          </w:p>
        </w:tc>
        <w:tc>
          <w:tcPr>
            <w:tcW w:w="1300" w:type="dxa"/>
            <w:gridSpan w:val="2"/>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156</w:t>
            </w:r>
          </w:p>
        </w:tc>
        <w:tc>
          <w:tcPr>
            <w:tcW w:w="152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(57%)</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Digoxin</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70 (20%)</w:t>
            </w:r>
          </w:p>
        </w:tc>
        <w:tc>
          <w:tcPr>
            <w:tcW w:w="124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49</w:t>
            </w:r>
          </w:p>
        </w:tc>
        <w:tc>
          <w:tcPr>
            <w:tcW w:w="158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(18%)</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Diuretics</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70 (20%)</w:t>
            </w:r>
          </w:p>
        </w:tc>
        <w:tc>
          <w:tcPr>
            <w:tcW w:w="124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46</w:t>
            </w:r>
          </w:p>
        </w:tc>
        <w:tc>
          <w:tcPr>
            <w:tcW w:w="158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(17%)</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Lipid lowering agents</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209</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(60%)</w:t>
            </w:r>
          </w:p>
        </w:tc>
        <w:tc>
          <w:tcPr>
            <w:tcW w:w="1300" w:type="dxa"/>
            <w:gridSpan w:val="2"/>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169</w:t>
            </w:r>
          </w:p>
        </w:tc>
        <w:tc>
          <w:tcPr>
            <w:tcW w:w="152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(62%)</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SYNTAX score</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37.48 ± 7.28</w:t>
            </w:r>
          </w:p>
        </w:tc>
        <w:tc>
          <w:tcPr>
            <w:tcW w:w="2820" w:type="dxa"/>
            <w:gridSpan w:val="3"/>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26.76 ± 6.34*</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Gensini score</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77.56</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13.05</w:t>
            </w:r>
          </w:p>
        </w:tc>
        <w:tc>
          <w:tcPr>
            <w:tcW w:w="2820" w:type="dxa"/>
            <w:gridSpan w:val="3"/>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56.46 ± 12.24*</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Multi-vessel disease</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6"/>
                <w:sz w:val="18"/>
              </w:rPr>
            </w:pPr>
            <w:r>
              <w:rPr>
                <w:rFonts w:ascii="Arial" w:eastAsia="Arial" w:hAnsi="Arial"/>
                <w:w w:val="96"/>
                <w:sz w:val="18"/>
              </w:rPr>
              <w:t>174/(50%)</w:t>
            </w:r>
          </w:p>
        </w:tc>
        <w:tc>
          <w:tcPr>
            <w:tcW w:w="2820" w:type="dxa"/>
            <w:gridSpan w:val="3"/>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96/(35%)*</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LAD</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6"/>
                <w:sz w:val="18"/>
              </w:rPr>
            </w:pPr>
            <w:r>
              <w:rPr>
                <w:rFonts w:ascii="Arial" w:eastAsia="Arial" w:hAnsi="Arial"/>
                <w:w w:val="96"/>
                <w:sz w:val="18"/>
              </w:rPr>
              <w:t>220/(63%)</w:t>
            </w:r>
          </w:p>
        </w:tc>
        <w:tc>
          <w:tcPr>
            <w:tcW w:w="2820" w:type="dxa"/>
            <w:gridSpan w:val="3"/>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6"/>
                <w:sz w:val="18"/>
              </w:rPr>
            </w:pPr>
            <w:r>
              <w:rPr>
                <w:rFonts w:ascii="Arial" w:eastAsia="Arial" w:hAnsi="Arial"/>
                <w:w w:val="96"/>
                <w:sz w:val="18"/>
              </w:rPr>
              <w:t>150/(55%)</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LCX</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6"/>
                <w:sz w:val="18"/>
              </w:rPr>
            </w:pPr>
            <w:r>
              <w:rPr>
                <w:rFonts w:ascii="Arial" w:eastAsia="Arial" w:hAnsi="Arial"/>
                <w:w w:val="96"/>
                <w:sz w:val="18"/>
              </w:rPr>
              <w:t>157/(45%)</w:t>
            </w:r>
          </w:p>
        </w:tc>
        <w:tc>
          <w:tcPr>
            <w:tcW w:w="2820" w:type="dxa"/>
            <w:gridSpan w:val="3"/>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6"/>
                <w:sz w:val="18"/>
              </w:rPr>
            </w:pPr>
            <w:r>
              <w:rPr>
                <w:rFonts w:ascii="Arial" w:eastAsia="Arial" w:hAnsi="Arial"/>
                <w:w w:val="96"/>
                <w:sz w:val="18"/>
              </w:rPr>
              <w:t>109/(40%)</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RCA</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6"/>
                <w:sz w:val="18"/>
              </w:rPr>
            </w:pPr>
            <w:r>
              <w:rPr>
                <w:rFonts w:ascii="Arial" w:eastAsia="Arial" w:hAnsi="Arial"/>
                <w:w w:val="96"/>
                <w:sz w:val="18"/>
              </w:rPr>
              <w:t>132/(38%)</w:t>
            </w:r>
          </w:p>
        </w:tc>
        <w:tc>
          <w:tcPr>
            <w:tcW w:w="2820" w:type="dxa"/>
            <w:gridSpan w:val="3"/>
            <w:tcBorders>
              <w:bottom w:val="single" w:sz="8" w:space="0" w:color="808285"/>
              <w:right w:val="single" w:sz="8" w:space="0" w:color="808285"/>
            </w:tcBorders>
            <w:shd w:val="clear" w:color="auto" w:fill="auto"/>
            <w:vAlign w:val="bottom"/>
          </w:tcPr>
          <w:p w:rsidR="00760D48" w:rsidRDefault="00760D48" w:rsidP="00AB18F6">
            <w:pPr>
              <w:spacing w:line="0" w:lineRule="atLeast"/>
              <w:ind w:right="990"/>
              <w:jc w:val="right"/>
              <w:rPr>
                <w:rFonts w:ascii="Arial" w:eastAsia="Arial" w:hAnsi="Arial"/>
                <w:sz w:val="18"/>
              </w:rPr>
            </w:pPr>
            <w:r>
              <w:rPr>
                <w:rFonts w:ascii="Arial" w:eastAsia="Arial" w:hAnsi="Arial"/>
                <w:sz w:val="18"/>
              </w:rPr>
              <w:t>93/(34%)</w:t>
            </w:r>
          </w:p>
        </w:tc>
      </w:tr>
    </w:tbl>
    <w:p w:rsidR="00760D48" w:rsidRDefault="00760D48" w:rsidP="00760D48">
      <w:pPr>
        <w:spacing w:line="63" w:lineRule="exact"/>
        <w:rPr>
          <w:rFonts w:ascii="Times New Roman" w:eastAsia="Times New Roman" w:hAnsi="Times New Roman"/>
        </w:rPr>
      </w:pPr>
    </w:p>
    <w:p w:rsidR="00760D48" w:rsidRDefault="00760D48" w:rsidP="00760D48">
      <w:pPr>
        <w:spacing w:line="0" w:lineRule="atLeast"/>
        <w:rPr>
          <w:rFonts w:ascii="Arial" w:eastAsia="Arial" w:hAnsi="Arial"/>
          <w:sz w:val="13"/>
        </w:rPr>
      </w:pPr>
      <w:r>
        <w:rPr>
          <w:rFonts w:ascii="Arial" w:eastAsia="Arial" w:hAnsi="Arial"/>
          <w:sz w:val="13"/>
        </w:rPr>
        <w:t>*P ≤ 0.05; CRP: C-reactive protein; RAA: renin angiotensin aldosterone system inhibitors; LAD: left anterior descending artery; LCX: left circumflex artery; RCA:</w:t>
      </w:r>
    </w:p>
    <w:p w:rsidR="00760D48" w:rsidRDefault="00760D48" w:rsidP="00760D48">
      <w:pPr>
        <w:spacing w:line="28" w:lineRule="exact"/>
        <w:rPr>
          <w:rFonts w:ascii="Times New Roman" w:eastAsia="Times New Roman" w:hAnsi="Times New Roman"/>
        </w:rPr>
      </w:pPr>
    </w:p>
    <w:p w:rsidR="00760D48" w:rsidRDefault="00760D48" w:rsidP="00760D48">
      <w:pPr>
        <w:spacing w:line="0" w:lineRule="atLeast"/>
        <w:rPr>
          <w:rFonts w:ascii="Arial" w:eastAsia="Arial" w:hAnsi="Arial"/>
          <w:sz w:val="14"/>
        </w:rPr>
      </w:pPr>
      <w:r>
        <w:rPr>
          <w:rFonts w:ascii="Arial" w:eastAsia="Arial" w:hAnsi="Arial"/>
          <w:sz w:val="14"/>
        </w:rPr>
        <w:t>right coronary artery</w:t>
      </w:r>
    </w:p>
    <w:p w:rsidR="00760D48" w:rsidRDefault="00760D48" w:rsidP="00760D48">
      <w:pPr>
        <w:spacing w:line="0" w:lineRule="atLeast"/>
        <w:rPr>
          <w:rFonts w:ascii="Arial" w:eastAsia="Arial" w:hAnsi="Arial"/>
          <w:sz w:val="14"/>
        </w:rPr>
        <w:sectPr w:rsidR="00760D48">
          <w:pgSz w:w="11620" w:h="16441"/>
          <w:pgMar w:top="919" w:right="1302" w:bottom="144" w:left="960" w:header="0" w:footer="0" w:gutter="0"/>
          <w:cols w:space="0" w:equalWidth="0">
            <w:col w:w="93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346" w:lineRule="exact"/>
        <w:rPr>
          <w:rFonts w:ascii="Times New Roman" w:eastAsia="Times New Roman" w:hAnsi="Times New Roman"/>
        </w:rPr>
      </w:pPr>
    </w:p>
    <w:p w:rsidR="00760D48" w:rsidRDefault="00760D48" w:rsidP="00760D48">
      <w:pPr>
        <w:spacing w:line="291" w:lineRule="auto"/>
        <w:jc w:val="both"/>
        <w:rPr>
          <w:rFonts w:ascii="Arial" w:eastAsia="Arial" w:hAnsi="Arial"/>
          <w:sz w:val="18"/>
        </w:rPr>
      </w:pPr>
      <w:r>
        <w:rPr>
          <w:rFonts w:ascii="Arial" w:eastAsia="Arial" w:hAnsi="Arial"/>
          <w:sz w:val="18"/>
        </w:rPr>
        <w:t xml:space="preserve">as means ± SD Between-group comparisons were performed using t-test. Categorical data were pre-sented as percentages and analyzed using </w:t>
      </w:r>
      <w:r>
        <w:rPr>
          <w:rFonts w:ascii="Times New Roman" w:eastAsia="Times New Roman" w:hAnsi="Times New Roman"/>
          <w:sz w:val="18"/>
        </w:rPr>
        <w:t>c</w:t>
      </w:r>
      <w:r>
        <w:rPr>
          <w:rFonts w:ascii="Arial" w:eastAsia="Arial" w:hAnsi="Arial"/>
          <w:sz w:val="18"/>
        </w:rPr>
        <w:t xml:space="preserve"> </w:t>
      </w:r>
      <w:r>
        <w:rPr>
          <w:rFonts w:ascii="Arial" w:eastAsia="Arial" w:hAnsi="Arial"/>
          <w:vertAlign w:val="superscript"/>
        </w:rPr>
        <w:t>2</w:t>
      </w:r>
      <w:r>
        <w:rPr>
          <w:rFonts w:ascii="Arial" w:eastAsia="Arial" w:hAnsi="Arial"/>
          <w:sz w:val="18"/>
        </w:rPr>
        <w:t xml:space="preserve"> test. The correlation between serum potassium level, Syntax and Gensini scores were examined by Pearson correlation analysis. and Kaplan Meyer analysis was used for sur-vival analysis. Differences with p values &lt; 0.05 were considered statistically significant. Multivariate Cox re-gression analysis was done to examine the independent predictors of MACE</w:t>
      </w:r>
    </w:p>
    <w:p w:rsidR="00760D48" w:rsidRDefault="00760D48" w:rsidP="00760D48">
      <w:pPr>
        <w:spacing w:line="172" w:lineRule="exact"/>
        <w:rPr>
          <w:rFonts w:ascii="Times New Roman" w:eastAsia="Times New Roman" w:hAnsi="Times New Roman"/>
        </w:rPr>
      </w:pPr>
    </w:p>
    <w:p w:rsidR="00760D48" w:rsidRDefault="00760D48" w:rsidP="00760D48">
      <w:pPr>
        <w:spacing w:line="0" w:lineRule="atLeast"/>
        <w:ind w:left="1840"/>
        <w:rPr>
          <w:rFonts w:ascii="Arial" w:eastAsia="Arial" w:hAnsi="Arial"/>
          <w:b/>
          <w:color w:val="00547D"/>
          <w:sz w:val="24"/>
        </w:rPr>
      </w:pPr>
      <w:r>
        <w:rPr>
          <w:rFonts w:ascii="Arial" w:eastAsia="Arial" w:hAnsi="Arial"/>
          <w:b/>
          <w:color w:val="00547D"/>
          <w:sz w:val="24"/>
        </w:rPr>
        <w:t>Results</w:t>
      </w:r>
    </w:p>
    <w:p w:rsidR="00760D48" w:rsidRDefault="00760D48" w:rsidP="00760D48">
      <w:pPr>
        <w:spacing w:line="242" w:lineRule="exact"/>
        <w:rPr>
          <w:rFonts w:ascii="Times New Roman" w:eastAsia="Times New Roman" w:hAnsi="Times New Roman"/>
        </w:rPr>
      </w:pPr>
    </w:p>
    <w:p w:rsidR="00760D48" w:rsidRDefault="00760D48" w:rsidP="00760D48">
      <w:pPr>
        <w:spacing w:line="0" w:lineRule="atLeast"/>
        <w:rPr>
          <w:rFonts w:ascii="Arial" w:eastAsia="Arial" w:hAnsi="Arial"/>
          <w:b/>
          <w:color w:val="4E7598"/>
        </w:rPr>
      </w:pPr>
      <w:r>
        <w:rPr>
          <w:rFonts w:ascii="Arial" w:eastAsia="Arial" w:hAnsi="Arial"/>
          <w:b/>
          <w:color w:val="4E7598"/>
        </w:rPr>
        <w:t>General clinical data comparison</w:t>
      </w:r>
    </w:p>
    <w:p w:rsidR="00760D48" w:rsidRDefault="00760D48" w:rsidP="00760D48">
      <w:pPr>
        <w:spacing w:line="17" w:lineRule="exact"/>
        <w:rPr>
          <w:rFonts w:ascii="Times New Roman" w:eastAsia="Times New Roman" w:hAnsi="Times New Roman"/>
        </w:rPr>
      </w:pPr>
    </w:p>
    <w:p w:rsidR="00760D48" w:rsidRDefault="00760D48" w:rsidP="00760D48">
      <w:pPr>
        <w:spacing w:line="334" w:lineRule="auto"/>
        <w:jc w:val="both"/>
        <w:rPr>
          <w:rFonts w:ascii="Arial" w:eastAsia="Arial" w:hAnsi="Arial"/>
          <w:sz w:val="18"/>
        </w:rPr>
      </w:pPr>
      <w:r>
        <w:rPr>
          <w:rFonts w:ascii="Arial" w:eastAsia="Arial" w:hAnsi="Arial"/>
          <w:sz w:val="18"/>
        </w:rPr>
        <w:t>Mean serum potassium level was 3.93 ± 0.95 (mEq/l) in coronary artery disease patients. Patients were divided</w:t>
      </w:r>
    </w:p>
    <w:p w:rsidR="00760D48" w:rsidRDefault="00760D48" w:rsidP="00760D48">
      <w:pPr>
        <w:spacing w:line="200" w:lineRule="exact"/>
        <w:rPr>
          <w:rFonts w:ascii="Times New Roman" w:eastAsia="Times New Roman" w:hAnsi="Times New Roman"/>
        </w:rPr>
      </w:pPr>
      <w:r>
        <w:rPr>
          <w:rFonts w:ascii="Arial" w:eastAsia="Arial" w:hAnsi="Arial"/>
          <w:sz w:val="18"/>
        </w:rPr>
        <w:br w:type="column"/>
      </w:r>
    </w:p>
    <w:p w:rsidR="00760D48" w:rsidRDefault="00760D48" w:rsidP="00760D48">
      <w:pPr>
        <w:spacing w:line="346" w:lineRule="exact"/>
        <w:rPr>
          <w:rFonts w:ascii="Times New Roman" w:eastAsia="Times New Roman" w:hAnsi="Times New Roman"/>
        </w:rPr>
      </w:pPr>
    </w:p>
    <w:p w:rsidR="00760D48" w:rsidRDefault="00760D48" w:rsidP="00760D48">
      <w:pPr>
        <w:spacing w:line="312" w:lineRule="auto"/>
        <w:jc w:val="both"/>
        <w:rPr>
          <w:rFonts w:ascii="Arial" w:eastAsia="Arial" w:hAnsi="Arial"/>
          <w:sz w:val="17"/>
        </w:rPr>
      </w:pPr>
      <w:r>
        <w:rPr>
          <w:rFonts w:ascii="Arial" w:eastAsia="Arial" w:hAnsi="Arial"/>
          <w:sz w:val="17"/>
        </w:rPr>
        <w:t>based median serum potassium level (4 mEq/l) and com-parison was made of baseline characteristics. There were no significant differences in clinical characteristics at base-line between the two groups with high and low potassium levels (p &gt; 0.05) (Table 1). All patients received similar medication such as anti-platelets, beta-blockers, Renin An-giotensin Aldosterone system (RAAS) inhibitors, statins, ni-trates and diuretics. Patients’ characteristics with and with-out MACE were also compared which showed a significant difference in serum potassium level, BMI, ejection fraction, SYNTAX score, Gensini Score and multi-vessel disease (p ≤ 0.05) (Table 2).</w:t>
      </w:r>
    </w:p>
    <w:p w:rsidR="00760D48" w:rsidRDefault="00760D48" w:rsidP="00760D48">
      <w:pPr>
        <w:spacing w:line="179" w:lineRule="exact"/>
        <w:rPr>
          <w:rFonts w:ascii="Times New Roman" w:eastAsia="Times New Roman" w:hAnsi="Times New Roman"/>
        </w:rPr>
      </w:pPr>
    </w:p>
    <w:p w:rsidR="00760D48" w:rsidRDefault="00760D48" w:rsidP="00760D48">
      <w:pPr>
        <w:spacing w:line="0" w:lineRule="atLeast"/>
        <w:rPr>
          <w:rFonts w:ascii="Arial" w:eastAsia="Arial" w:hAnsi="Arial"/>
          <w:b/>
          <w:color w:val="4E7598"/>
        </w:rPr>
      </w:pPr>
      <w:r>
        <w:rPr>
          <w:rFonts w:ascii="Arial" w:eastAsia="Arial" w:hAnsi="Arial"/>
          <w:b/>
          <w:color w:val="4E7598"/>
        </w:rPr>
        <w:t>Angiographic assessment and correlation</w:t>
      </w:r>
    </w:p>
    <w:p w:rsidR="00760D48" w:rsidRDefault="00760D48" w:rsidP="00760D48">
      <w:pPr>
        <w:spacing w:line="17" w:lineRule="exact"/>
        <w:rPr>
          <w:rFonts w:ascii="Times New Roman" w:eastAsia="Times New Roman" w:hAnsi="Times New Roman"/>
        </w:rPr>
      </w:pPr>
    </w:p>
    <w:p w:rsidR="00760D48" w:rsidRDefault="00760D48" w:rsidP="00760D48">
      <w:pPr>
        <w:spacing w:line="368" w:lineRule="auto"/>
        <w:ind w:firstLine="283"/>
        <w:jc w:val="both"/>
        <w:rPr>
          <w:rFonts w:ascii="Arial" w:eastAsia="Arial" w:hAnsi="Arial"/>
          <w:sz w:val="17"/>
        </w:rPr>
      </w:pPr>
      <w:r>
        <w:rPr>
          <w:rFonts w:ascii="Arial" w:eastAsia="Arial" w:hAnsi="Arial"/>
          <w:sz w:val="17"/>
        </w:rPr>
        <w:t>Angiographic analysis based on serum potassium level demonstrated that there was a significant difference</w:t>
      </w:r>
    </w:p>
    <w:p w:rsidR="00760D48" w:rsidRDefault="00760D48" w:rsidP="00760D48">
      <w:pPr>
        <w:spacing w:line="368" w:lineRule="auto"/>
        <w:ind w:firstLine="283"/>
        <w:jc w:val="both"/>
        <w:rPr>
          <w:rFonts w:ascii="Arial" w:eastAsia="Arial" w:hAnsi="Arial"/>
          <w:sz w:val="17"/>
        </w:rPr>
        <w:sectPr w:rsidR="00760D48">
          <w:type w:val="continuous"/>
          <w:pgSz w:w="11620" w:h="16441"/>
          <w:pgMar w:top="919" w:right="1302" w:bottom="144" w:left="960" w:header="0" w:footer="0" w:gutter="0"/>
          <w:cols w:num="2" w:space="0" w:equalWidth="0">
            <w:col w:w="4460" w:space="440"/>
            <w:col w:w="44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65" w:lineRule="exact"/>
        <w:rPr>
          <w:rFonts w:ascii="Times New Roman" w:eastAsia="Times New Roman" w:hAnsi="Times New Roman"/>
        </w:rPr>
      </w:pPr>
    </w:p>
    <w:p w:rsidR="00760D48" w:rsidRDefault="00760D48" w:rsidP="00760D48">
      <w:pPr>
        <w:tabs>
          <w:tab w:val="left" w:pos="3260"/>
        </w:tabs>
        <w:spacing w:line="0" w:lineRule="atLeast"/>
        <w:rPr>
          <w:rFonts w:ascii="Arial" w:eastAsia="Arial" w:hAnsi="Arial"/>
          <w:sz w:val="14"/>
        </w:rPr>
      </w:pPr>
      <w:r>
        <w:rPr>
          <w:rFonts w:ascii="Arial" w:eastAsia="Arial" w:hAnsi="Arial"/>
          <w:sz w:val="16"/>
        </w:rPr>
        <w:t>60</w:t>
      </w:r>
      <w:r>
        <w:rPr>
          <w:rFonts w:ascii="Times New Roman" w:eastAsia="Times New Roman" w:hAnsi="Times New Roman"/>
        </w:rPr>
        <w:tab/>
      </w:r>
      <w:r>
        <w:rPr>
          <w:rFonts w:ascii="Arial" w:eastAsia="Arial" w:hAnsi="Arial"/>
          <w:sz w:val="14"/>
        </w:rPr>
        <w:t>www.journals.viamedica.pl/acta_angiologica</w:t>
      </w:r>
    </w:p>
    <w:p w:rsidR="00760D48" w:rsidRDefault="00760D48" w:rsidP="00760D48">
      <w:pPr>
        <w:tabs>
          <w:tab w:val="left" w:pos="3260"/>
        </w:tabs>
        <w:spacing w:line="0" w:lineRule="atLeast"/>
        <w:rPr>
          <w:rFonts w:ascii="Arial" w:eastAsia="Arial" w:hAnsi="Arial"/>
          <w:sz w:val="14"/>
        </w:rPr>
        <w:sectPr w:rsidR="00760D48">
          <w:type w:val="continuous"/>
          <w:pgSz w:w="11620" w:h="16441"/>
          <w:pgMar w:top="919" w:right="1302" w:bottom="144" w:left="960" w:header="0" w:footer="0" w:gutter="0"/>
          <w:cols w:space="0" w:equalWidth="0">
            <w:col w:w="9360"/>
          </w:cols>
          <w:docGrid w:linePitch="360"/>
        </w:sectPr>
      </w:pPr>
    </w:p>
    <w:p w:rsidR="00760D48" w:rsidRDefault="00760D48" w:rsidP="00760D48">
      <w:pPr>
        <w:spacing w:line="0" w:lineRule="atLeast"/>
        <w:ind w:left="4600"/>
        <w:rPr>
          <w:rFonts w:ascii="Arial" w:eastAsia="Arial" w:hAnsi="Arial"/>
          <w:b/>
          <w:sz w:val="15"/>
        </w:rPr>
      </w:pPr>
      <w:r>
        <w:rPr>
          <w:rFonts w:ascii="Arial" w:eastAsia="Arial" w:hAnsi="Arial"/>
          <w:sz w:val="15"/>
        </w:rPr>
        <w:lastRenderedPageBreak/>
        <w:t xml:space="preserve">Afrasyab Altaf et al., </w:t>
      </w:r>
      <w:r>
        <w:rPr>
          <w:rFonts w:ascii="Arial" w:eastAsia="Arial" w:hAnsi="Arial"/>
          <w:b/>
          <w:sz w:val="15"/>
        </w:rPr>
        <w:t>Serum potassium and coronary artery disease</w:t>
      </w:r>
    </w:p>
    <w:p w:rsidR="00760D48" w:rsidRDefault="001D2EC7" w:rsidP="00760D48">
      <w:pPr>
        <w:spacing w:line="20" w:lineRule="exact"/>
        <w:rPr>
          <w:rFonts w:ascii="Times New Roman" w:eastAsia="Times New Roman" w:hAnsi="Times New Roman"/>
        </w:rPr>
      </w:pPr>
      <w:r>
        <w:rPr>
          <w:rFonts w:ascii="Arial" w:eastAsia="Arial" w:hAnsi="Arial"/>
          <w:b/>
          <w:sz w:val="15"/>
        </w:rPr>
        <w:pict>
          <v:line id="_x0000_s1089" style="position:absolute;z-index:-251592704" from=".15pt,4.95pt" to="467.9pt,4.95pt" o:userdrawn="t" strokecolor="#6d6e71" strokeweight=".5pt"/>
        </w:pict>
      </w:r>
    </w:p>
    <w:p w:rsidR="00760D48" w:rsidRDefault="00760D48" w:rsidP="00760D48">
      <w:pPr>
        <w:spacing w:line="369" w:lineRule="exact"/>
        <w:rPr>
          <w:rFonts w:ascii="Times New Roman" w:eastAsia="Times New Roman" w:hAnsi="Times New Roman"/>
        </w:rPr>
      </w:pPr>
    </w:p>
    <w:p w:rsidR="00760D48" w:rsidRDefault="00760D48" w:rsidP="00760D48">
      <w:pPr>
        <w:spacing w:line="0" w:lineRule="atLeast"/>
        <w:rPr>
          <w:rFonts w:ascii="Arial" w:eastAsia="Arial" w:hAnsi="Arial"/>
          <w:sz w:val="18"/>
        </w:rPr>
      </w:pPr>
      <w:r>
        <w:rPr>
          <w:rFonts w:ascii="Arial" w:eastAsia="Arial" w:hAnsi="Arial"/>
          <w:b/>
          <w:sz w:val="18"/>
        </w:rPr>
        <w:t xml:space="preserve">Table 2. </w:t>
      </w:r>
      <w:r>
        <w:rPr>
          <w:rFonts w:ascii="Arial" w:eastAsia="Arial" w:hAnsi="Arial"/>
          <w:sz w:val="18"/>
        </w:rPr>
        <w:t>Patient characteristics and angiographic features of study groups according to MACE</w:t>
      </w:r>
    </w:p>
    <w:p w:rsidR="00760D48" w:rsidRDefault="00760D48" w:rsidP="00760D48">
      <w:pPr>
        <w:spacing w:line="20" w:lineRule="exact"/>
        <w:rPr>
          <w:rFonts w:ascii="Times New Roman" w:eastAsia="Times New Roman" w:hAnsi="Times New Roman"/>
        </w:rPr>
      </w:pPr>
      <w:r>
        <w:rPr>
          <w:rFonts w:ascii="Arial" w:eastAsia="Arial" w:hAnsi="Arial"/>
          <w:noProof/>
          <w:sz w:val="18"/>
          <w:lang w:bidi="ar-SA"/>
        </w:rPr>
        <w:drawing>
          <wp:anchor distT="0" distB="0" distL="114300" distR="114300" simplePos="0" relativeHeight="251724800" behindDoc="1" locked="0" layoutInCell="1" allowOverlap="1">
            <wp:simplePos x="0" y="0"/>
            <wp:positionH relativeFrom="column">
              <wp:posOffset>-6350</wp:posOffset>
            </wp:positionH>
            <wp:positionV relativeFrom="paragraph">
              <wp:posOffset>92075</wp:posOffset>
            </wp:positionV>
            <wp:extent cx="5962015" cy="1955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62015" cy="19558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12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700"/>
        <w:gridCol w:w="1300"/>
        <w:gridCol w:w="1540"/>
        <w:gridCol w:w="1260"/>
        <w:gridCol w:w="1580"/>
      </w:tblGrid>
      <w:tr w:rsidR="00760D48" w:rsidTr="00AB18F6">
        <w:trPr>
          <w:trHeight w:val="273"/>
        </w:trPr>
        <w:tc>
          <w:tcPr>
            <w:tcW w:w="3700" w:type="dxa"/>
            <w:tcBorders>
              <w:top w:val="single" w:sz="8" w:space="0" w:color="78537B"/>
              <w:left w:val="single" w:sz="8" w:space="0" w:color="78537B"/>
              <w:right w:val="single" w:sz="8" w:space="0" w:color="78537B"/>
            </w:tcBorders>
            <w:shd w:val="clear" w:color="auto" w:fill="auto"/>
            <w:vAlign w:val="bottom"/>
          </w:tcPr>
          <w:p w:rsidR="00760D48" w:rsidRDefault="00760D48" w:rsidP="00AB18F6">
            <w:pPr>
              <w:spacing w:line="0" w:lineRule="atLeast"/>
              <w:ind w:left="80"/>
              <w:rPr>
                <w:rFonts w:ascii="Arial" w:eastAsia="Arial" w:hAnsi="Arial"/>
                <w:b/>
                <w:color w:val="FFFFFF"/>
                <w:sz w:val="16"/>
              </w:rPr>
            </w:pPr>
            <w:r>
              <w:rPr>
                <w:rFonts w:ascii="Arial" w:eastAsia="Arial" w:hAnsi="Arial"/>
                <w:b/>
                <w:color w:val="FFFFFF"/>
                <w:sz w:val="16"/>
              </w:rPr>
              <w:t>Variable</w:t>
            </w:r>
          </w:p>
        </w:tc>
        <w:tc>
          <w:tcPr>
            <w:tcW w:w="2840" w:type="dxa"/>
            <w:gridSpan w:val="2"/>
            <w:tcBorders>
              <w:top w:val="single" w:sz="8" w:space="0" w:color="78537B"/>
              <w:right w:val="single" w:sz="8" w:space="0" w:color="78537B"/>
            </w:tcBorders>
            <w:shd w:val="clear" w:color="auto" w:fill="auto"/>
            <w:vAlign w:val="bottom"/>
          </w:tcPr>
          <w:p w:rsidR="00760D48" w:rsidRDefault="00760D48" w:rsidP="00AB18F6">
            <w:pPr>
              <w:spacing w:line="0" w:lineRule="atLeast"/>
              <w:ind w:left="560"/>
              <w:rPr>
                <w:rFonts w:ascii="Arial" w:eastAsia="Arial" w:hAnsi="Arial"/>
                <w:b/>
                <w:color w:val="FFFFFF"/>
                <w:sz w:val="16"/>
              </w:rPr>
            </w:pPr>
            <w:r>
              <w:rPr>
                <w:rFonts w:ascii="Arial" w:eastAsia="Arial" w:hAnsi="Arial"/>
                <w:b/>
                <w:color w:val="FFFFFF"/>
                <w:sz w:val="16"/>
              </w:rPr>
              <w:t>Patients without MACE</w:t>
            </w:r>
          </w:p>
        </w:tc>
        <w:tc>
          <w:tcPr>
            <w:tcW w:w="2840" w:type="dxa"/>
            <w:gridSpan w:val="2"/>
            <w:tcBorders>
              <w:top w:val="single" w:sz="8" w:space="0" w:color="78537B"/>
              <w:right w:val="single" w:sz="8" w:space="0" w:color="78537B"/>
            </w:tcBorders>
            <w:shd w:val="clear" w:color="auto" w:fill="auto"/>
            <w:vAlign w:val="bottom"/>
          </w:tcPr>
          <w:p w:rsidR="00760D48" w:rsidRDefault="00760D48" w:rsidP="00AB18F6">
            <w:pPr>
              <w:spacing w:line="0" w:lineRule="atLeast"/>
              <w:ind w:left="680"/>
              <w:rPr>
                <w:rFonts w:ascii="Arial" w:eastAsia="Arial" w:hAnsi="Arial"/>
                <w:b/>
                <w:color w:val="FFFFFF"/>
                <w:sz w:val="16"/>
              </w:rPr>
            </w:pPr>
            <w:r>
              <w:rPr>
                <w:rFonts w:ascii="Arial" w:eastAsia="Arial" w:hAnsi="Arial"/>
                <w:b/>
                <w:color w:val="FFFFFF"/>
                <w:sz w:val="16"/>
              </w:rPr>
              <w:t>Patients with MACE</w:t>
            </w:r>
          </w:p>
        </w:tc>
      </w:tr>
      <w:tr w:rsidR="00760D48" w:rsidTr="00AB18F6">
        <w:trPr>
          <w:trHeight w:val="286"/>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Number of patients</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601</w:t>
            </w:r>
          </w:p>
        </w:tc>
        <w:tc>
          <w:tcPr>
            <w:tcW w:w="1260" w:type="dxa"/>
            <w:tcBorders>
              <w:bottom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58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right="1210"/>
              <w:jc w:val="center"/>
              <w:rPr>
                <w:rFonts w:ascii="Arial" w:eastAsia="Arial" w:hAnsi="Arial"/>
                <w:w w:val="99"/>
                <w:sz w:val="18"/>
              </w:rPr>
            </w:pPr>
            <w:r>
              <w:rPr>
                <w:rFonts w:ascii="Arial" w:eastAsia="Arial" w:hAnsi="Arial"/>
                <w:w w:val="99"/>
                <w:sz w:val="18"/>
              </w:rPr>
              <w:t>21</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Age (years)</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61.35 ± 5.62</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63.32 ± 8.46</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Gender (m/f)</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330/271 (55/45%)</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12/9 (60/41%)</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Serum potassium (&lt; 4 mEq/l)</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3.38</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 0.44</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8"/>
                <w:sz w:val="18"/>
              </w:rPr>
            </w:pPr>
            <w:r>
              <w:rPr>
                <w:rFonts w:ascii="Arial" w:eastAsia="Arial" w:hAnsi="Arial"/>
                <w:w w:val="98"/>
                <w:sz w:val="18"/>
              </w:rPr>
              <w:t>4.62 ± 0.56*</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BMI</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22.43 ± 1.12</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25.11 ± 1.15*</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Ejection fraction (%)</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54.51 ± 8.14</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42.35 ± 7.29*</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Blood sugar</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4"/>
                <w:sz w:val="18"/>
              </w:rPr>
            </w:pPr>
            <w:r>
              <w:rPr>
                <w:rFonts w:ascii="Arial" w:eastAsia="Arial" w:hAnsi="Arial"/>
                <w:w w:val="94"/>
                <w:sz w:val="18"/>
              </w:rPr>
              <w:t>140.31 ± 87.27</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6"/>
                <w:sz w:val="18"/>
              </w:rPr>
            </w:pPr>
            <w:r>
              <w:rPr>
                <w:rFonts w:ascii="Arial" w:eastAsia="Arial" w:hAnsi="Arial"/>
                <w:w w:val="96"/>
                <w:sz w:val="18"/>
              </w:rPr>
              <w:t>148.40 ± 72.44</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Serum creatinine</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1.11</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 0.35</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1.23 ± 0.28</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Hemoglobin (g/dl)</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13.4</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 1.53</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14.38 ± 1.67</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BNP (pg/ml)</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346.19</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 601.45</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501.17 ± 780.58</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Hs-troponin</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3566</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 3942</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4731 ± 5385</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CRP</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6.00</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 9.12</w:t>
            </w:r>
          </w:p>
        </w:tc>
        <w:tc>
          <w:tcPr>
            <w:tcW w:w="126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8.34</w:t>
            </w:r>
          </w:p>
        </w:tc>
        <w:tc>
          <w:tcPr>
            <w:tcW w:w="158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 11.89</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Diabetes</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222</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(37%)</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4"/>
                <w:sz w:val="18"/>
              </w:rPr>
            </w:pPr>
            <w:r>
              <w:rPr>
                <w:rFonts w:ascii="Arial" w:eastAsia="Arial" w:hAnsi="Arial"/>
                <w:w w:val="94"/>
                <w:sz w:val="18"/>
              </w:rPr>
              <w:t>13 (62%)*</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Hypertension</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301</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(50%)</w:t>
            </w:r>
          </w:p>
        </w:tc>
        <w:tc>
          <w:tcPr>
            <w:tcW w:w="126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12</w:t>
            </w:r>
          </w:p>
        </w:tc>
        <w:tc>
          <w:tcPr>
            <w:tcW w:w="158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(57%)</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Smoking</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186</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(31%)</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7 (35%)</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Hyperlipedemia</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144</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(24%)</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6 (29%)</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Anti-platelet drugs</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4"/>
                <w:sz w:val="18"/>
              </w:rPr>
            </w:pPr>
            <w:r>
              <w:rPr>
                <w:rFonts w:ascii="Arial" w:eastAsia="Arial" w:hAnsi="Arial"/>
                <w:w w:val="94"/>
                <w:sz w:val="18"/>
              </w:rPr>
              <w:t>601 (100%)</w:t>
            </w:r>
          </w:p>
        </w:tc>
        <w:tc>
          <w:tcPr>
            <w:tcW w:w="126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20</w:t>
            </w:r>
          </w:p>
        </w:tc>
        <w:tc>
          <w:tcPr>
            <w:tcW w:w="158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(95%)</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Beta blocker</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4"/>
                <w:sz w:val="18"/>
              </w:rPr>
            </w:pPr>
            <w:r>
              <w:rPr>
                <w:rFonts w:ascii="Arial" w:eastAsia="Arial" w:hAnsi="Arial"/>
                <w:w w:val="94"/>
                <w:sz w:val="18"/>
              </w:rPr>
              <w:t>541(90%)</w:t>
            </w:r>
          </w:p>
        </w:tc>
        <w:tc>
          <w:tcPr>
            <w:tcW w:w="126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18</w:t>
            </w:r>
          </w:p>
        </w:tc>
        <w:tc>
          <w:tcPr>
            <w:tcW w:w="158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(86%)</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RAAS inhibitors</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330</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(55%)</w:t>
            </w:r>
          </w:p>
        </w:tc>
        <w:tc>
          <w:tcPr>
            <w:tcW w:w="126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11</w:t>
            </w:r>
          </w:p>
        </w:tc>
        <w:tc>
          <w:tcPr>
            <w:tcW w:w="158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(54%)</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Nitrates</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330</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(55%)</w:t>
            </w:r>
          </w:p>
        </w:tc>
        <w:tc>
          <w:tcPr>
            <w:tcW w:w="126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12</w:t>
            </w:r>
          </w:p>
        </w:tc>
        <w:tc>
          <w:tcPr>
            <w:tcW w:w="158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(57%)</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Digoxin</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108</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(18%)</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4 (20%)</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Diuretics</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150</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(25%)</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6 (30%)</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Lipid lowering agents</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360</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(60%)</w:t>
            </w:r>
          </w:p>
        </w:tc>
        <w:tc>
          <w:tcPr>
            <w:tcW w:w="126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13</w:t>
            </w:r>
          </w:p>
        </w:tc>
        <w:tc>
          <w:tcPr>
            <w:tcW w:w="158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20"/>
              <w:rPr>
                <w:rFonts w:ascii="Arial" w:eastAsia="Arial" w:hAnsi="Arial"/>
                <w:sz w:val="18"/>
              </w:rPr>
            </w:pPr>
            <w:r>
              <w:rPr>
                <w:rFonts w:ascii="Arial" w:eastAsia="Arial" w:hAnsi="Arial"/>
                <w:sz w:val="18"/>
              </w:rPr>
              <w:t>(62%)</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SYNTAX score</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25.48 ± 6.24</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39.76 ± 7.37*</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Gensini score</w:t>
            </w:r>
          </w:p>
        </w:tc>
        <w:tc>
          <w:tcPr>
            <w:tcW w:w="1300" w:type="dxa"/>
            <w:tcBorders>
              <w:bottom w:val="single" w:sz="8" w:space="0" w:color="808285"/>
            </w:tcBorders>
            <w:shd w:val="clear" w:color="auto" w:fill="auto"/>
            <w:vAlign w:val="bottom"/>
          </w:tcPr>
          <w:p w:rsidR="00760D48" w:rsidRDefault="00760D48" w:rsidP="00AB18F6">
            <w:pPr>
              <w:spacing w:line="0" w:lineRule="atLeast"/>
              <w:jc w:val="right"/>
              <w:rPr>
                <w:rFonts w:ascii="Arial" w:eastAsia="Arial" w:hAnsi="Arial"/>
                <w:sz w:val="18"/>
              </w:rPr>
            </w:pPr>
            <w:r>
              <w:rPr>
                <w:rFonts w:ascii="Arial" w:eastAsia="Arial" w:hAnsi="Arial"/>
                <w:sz w:val="18"/>
              </w:rPr>
              <w:t>57.56</w:t>
            </w:r>
          </w:p>
        </w:tc>
        <w:tc>
          <w:tcPr>
            <w:tcW w:w="1540" w:type="dxa"/>
            <w:tcBorders>
              <w:bottom w:val="single" w:sz="8" w:space="0" w:color="808285"/>
              <w:right w:val="single" w:sz="8" w:space="0" w:color="808285"/>
            </w:tcBorders>
            <w:shd w:val="clear" w:color="auto" w:fill="auto"/>
            <w:vAlign w:val="bottom"/>
          </w:tcPr>
          <w:p w:rsidR="00760D48" w:rsidRDefault="00760D48" w:rsidP="00AB18F6">
            <w:pPr>
              <w:spacing w:line="0" w:lineRule="atLeast"/>
              <w:ind w:left="40"/>
              <w:rPr>
                <w:rFonts w:ascii="Arial" w:eastAsia="Arial" w:hAnsi="Arial"/>
                <w:sz w:val="18"/>
              </w:rPr>
            </w:pPr>
            <w:r>
              <w:rPr>
                <w:rFonts w:ascii="Arial" w:eastAsia="Arial" w:hAnsi="Arial"/>
                <w:sz w:val="18"/>
              </w:rPr>
              <w:t>± 12.16</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79.46 ± 10.43*</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Multi-vessel disease</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204/(34%)</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7"/>
                <w:sz w:val="18"/>
              </w:rPr>
            </w:pPr>
            <w:r>
              <w:rPr>
                <w:rFonts w:ascii="Arial" w:eastAsia="Arial" w:hAnsi="Arial"/>
                <w:w w:val="97"/>
                <w:sz w:val="18"/>
              </w:rPr>
              <w:t>12/(57%)*</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LAD</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348/(58%)</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13/(62%)</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LCX</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288/(42%)</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9/(43%)</w:t>
            </w:r>
          </w:p>
        </w:tc>
      </w:tr>
      <w:tr w:rsidR="00760D48" w:rsidTr="00AB18F6">
        <w:trPr>
          <w:trHeight w:val="273"/>
        </w:trPr>
        <w:tc>
          <w:tcPr>
            <w:tcW w:w="370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RCA</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3"/>
                <w:sz w:val="18"/>
              </w:rPr>
            </w:pPr>
            <w:r>
              <w:rPr>
                <w:rFonts w:ascii="Arial" w:eastAsia="Arial" w:hAnsi="Arial"/>
                <w:w w:val="93"/>
                <w:sz w:val="18"/>
              </w:rPr>
              <w:t>198/(33%)</w:t>
            </w:r>
          </w:p>
        </w:tc>
        <w:tc>
          <w:tcPr>
            <w:tcW w:w="2840" w:type="dxa"/>
            <w:gridSpan w:val="2"/>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5"/>
                <w:sz w:val="18"/>
              </w:rPr>
            </w:pPr>
            <w:r>
              <w:rPr>
                <w:rFonts w:ascii="Arial" w:eastAsia="Arial" w:hAnsi="Arial"/>
                <w:w w:val="95"/>
                <w:sz w:val="18"/>
              </w:rPr>
              <w:t>8/(38%)</w:t>
            </w:r>
          </w:p>
        </w:tc>
      </w:tr>
    </w:tbl>
    <w:p w:rsidR="00760D48" w:rsidRDefault="00760D48" w:rsidP="00760D48">
      <w:pPr>
        <w:spacing w:line="63" w:lineRule="exact"/>
        <w:rPr>
          <w:rFonts w:ascii="Times New Roman" w:eastAsia="Times New Roman" w:hAnsi="Times New Roman"/>
        </w:rPr>
      </w:pPr>
    </w:p>
    <w:p w:rsidR="00760D48" w:rsidRDefault="00760D48" w:rsidP="00760D48">
      <w:pPr>
        <w:spacing w:line="0" w:lineRule="atLeast"/>
        <w:rPr>
          <w:rFonts w:ascii="Arial" w:eastAsia="Arial" w:hAnsi="Arial"/>
          <w:sz w:val="13"/>
        </w:rPr>
      </w:pPr>
      <w:r>
        <w:rPr>
          <w:rFonts w:ascii="Arial" w:eastAsia="Arial" w:hAnsi="Arial"/>
          <w:sz w:val="13"/>
        </w:rPr>
        <w:t>*P ≤ 0.05; CRP: C-reactive protein; RAA: renin angiotensin aldosterone system inhibitors; LAD: left anterior descending artery; LCX: left circumflex artery; RCA:</w:t>
      </w:r>
    </w:p>
    <w:p w:rsidR="00760D48" w:rsidRDefault="00760D48" w:rsidP="00760D48">
      <w:pPr>
        <w:spacing w:line="28" w:lineRule="exact"/>
        <w:rPr>
          <w:rFonts w:ascii="Times New Roman" w:eastAsia="Times New Roman" w:hAnsi="Times New Roman"/>
        </w:rPr>
      </w:pPr>
    </w:p>
    <w:p w:rsidR="00760D48" w:rsidRDefault="00760D48" w:rsidP="00760D48">
      <w:pPr>
        <w:spacing w:line="0" w:lineRule="atLeast"/>
        <w:rPr>
          <w:rFonts w:ascii="Arial" w:eastAsia="Arial" w:hAnsi="Arial"/>
          <w:sz w:val="14"/>
        </w:rPr>
      </w:pPr>
      <w:r>
        <w:rPr>
          <w:rFonts w:ascii="Arial" w:eastAsia="Arial" w:hAnsi="Arial"/>
          <w:sz w:val="14"/>
        </w:rPr>
        <w:t>right coronary artery</w:t>
      </w:r>
    </w:p>
    <w:p w:rsidR="00760D48" w:rsidRDefault="00760D48" w:rsidP="00760D48">
      <w:pPr>
        <w:spacing w:line="0" w:lineRule="atLeast"/>
        <w:rPr>
          <w:rFonts w:ascii="Arial" w:eastAsia="Arial" w:hAnsi="Arial"/>
          <w:sz w:val="14"/>
        </w:rPr>
        <w:sectPr w:rsidR="00760D48">
          <w:pgSz w:w="11620" w:h="16441"/>
          <w:pgMar w:top="918" w:right="962" w:bottom="144" w:left="1300" w:header="0" w:footer="0" w:gutter="0"/>
          <w:cols w:space="0" w:equalWidth="0">
            <w:col w:w="93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40" w:lineRule="exact"/>
        <w:rPr>
          <w:rFonts w:ascii="Times New Roman" w:eastAsia="Times New Roman" w:hAnsi="Times New Roman"/>
        </w:rPr>
      </w:pPr>
    </w:p>
    <w:p w:rsidR="00760D48" w:rsidRDefault="00760D48" w:rsidP="00760D48">
      <w:pPr>
        <w:spacing w:line="289" w:lineRule="auto"/>
        <w:jc w:val="both"/>
        <w:rPr>
          <w:rFonts w:ascii="Arial" w:eastAsia="Arial" w:hAnsi="Arial"/>
          <w:sz w:val="18"/>
        </w:rPr>
      </w:pPr>
      <w:r>
        <w:rPr>
          <w:rFonts w:ascii="Arial" w:eastAsia="Arial" w:hAnsi="Arial"/>
          <w:sz w:val="18"/>
        </w:rPr>
        <w:t>between low and high potassium level groups in terms of multi-vessel disease, SYNTAX score and Gensini score (p &lt; 0.05). The involvement of the type of vessel was similar in both groups (p &gt; 0.05) (Table 1).</w:t>
      </w:r>
    </w:p>
    <w:p w:rsidR="00760D48" w:rsidRDefault="00760D48" w:rsidP="00760D48">
      <w:pPr>
        <w:spacing w:line="3" w:lineRule="exact"/>
        <w:rPr>
          <w:rFonts w:ascii="Times New Roman" w:eastAsia="Times New Roman" w:hAnsi="Times New Roman"/>
        </w:rPr>
      </w:pPr>
    </w:p>
    <w:p w:rsidR="00760D48" w:rsidRDefault="00760D48" w:rsidP="00760D48">
      <w:pPr>
        <w:spacing w:line="319" w:lineRule="auto"/>
        <w:ind w:firstLine="283"/>
        <w:jc w:val="both"/>
        <w:rPr>
          <w:rFonts w:ascii="Arial" w:eastAsia="Arial" w:hAnsi="Arial"/>
          <w:sz w:val="17"/>
        </w:rPr>
      </w:pPr>
      <w:r>
        <w:rPr>
          <w:rFonts w:ascii="Arial" w:eastAsia="Arial" w:hAnsi="Arial"/>
          <w:sz w:val="17"/>
        </w:rPr>
        <w:t>The mean SYNTAX score all patients was 32.78 ± 8.70 while the Gensini score was 68.30 ± 16.46. The results of Pearson’s correlation indicate that there was a significant negative correlation between the concentra-tion of potassium and SYNTAX score (r = –0.60, p &lt; 0.05). and Gensini score (r= –0.64, p &lt; 0.05) (Fig. 1).</w:t>
      </w:r>
    </w:p>
    <w:p w:rsidR="00760D48" w:rsidRDefault="00760D48" w:rsidP="00760D48">
      <w:pPr>
        <w:spacing w:line="170" w:lineRule="exact"/>
        <w:rPr>
          <w:rFonts w:ascii="Times New Roman" w:eastAsia="Times New Roman" w:hAnsi="Times New Roman"/>
        </w:rPr>
      </w:pPr>
    </w:p>
    <w:p w:rsidR="00760D48" w:rsidRDefault="00760D48" w:rsidP="00760D48">
      <w:pPr>
        <w:spacing w:line="0" w:lineRule="atLeast"/>
        <w:rPr>
          <w:rFonts w:ascii="Arial" w:eastAsia="Arial" w:hAnsi="Arial"/>
          <w:b/>
          <w:color w:val="4E7598"/>
          <w:sz w:val="21"/>
        </w:rPr>
      </w:pPr>
      <w:r>
        <w:rPr>
          <w:rFonts w:ascii="Arial" w:eastAsia="Arial" w:hAnsi="Arial"/>
          <w:b/>
          <w:color w:val="4E7598"/>
          <w:sz w:val="21"/>
        </w:rPr>
        <w:t>Survival and multivariate analysis for MACE</w:t>
      </w:r>
    </w:p>
    <w:p w:rsidR="00760D48" w:rsidRDefault="00760D48" w:rsidP="00760D48">
      <w:pPr>
        <w:spacing w:line="29" w:lineRule="exact"/>
        <w:rPr>
          <w:rFonts w:ascii="Times New Roman" w:eastAsia="Times New Roman" w:hAnsi="Times New Roman"/>
        </w:rPr>
      </w:pPr>
    </w:p>
    <w:p w:rsidR="00760D48" w:rsidRDefault="00760D48" w:rsidP="00760D48">
      <w:pPr>
        <w:spacing w:line="368" w:lineRule="auto"/>
        <w:jc w:val="both"/>
        <w:rPr>
          <w:rFonts w:ascii="Arial" w:eastAsia="Arial" w:hAnsi="Arial"/>
          <w:sz w:val="17"/>
        </w:rPr>
      </w:pPr>
      <w:r>
        <w:rPr>
          <w:rFonts w:ascii="Arial" w:eastAsia="Arial" w:hAnsi="Arial"/>
          <w:sz w:val="17"/>
        </w:rPr>
        <w:t>For analysis, we assessed Kaplan-Meier curves accord-ing to median value of serum Potassium level (median</w:t>
      </w:r>
    </w:p>
    <w:p w:rsidR="00760D48" w:rsidRDefault="00760D48" w:rsidP="00760D48">
      <w:pPr>
        <w:spacing w:line="200" w:lineRule="exact"/>
        <w:rPr>
          <w:rFonts w:ascii="Times New Roman" w:eastAsia="Times New Roman" w:hAnsi="Times New Roman"/>
        </w:rPr>
      </w:pPr>
      <w:r>
        <w:rPr>
          <w:rFonts w:ascii="Arial" w:eastAsia="Arial" w:hAnsi="Arial"/>
          <w:sz w:val="17"/>
        </w:rPr>
        <w:br w:type="column"/>
      </w:r>
    </w:p>
    <w:p w:rsidR="00760D48" w:rsidRDefault="00760D48" w:rsidP="00760D48">
      <w:pPr>
        <w:spacing w:line="240" w:lineRule="exact"/>
        <w:rPr>
          <w:rFonts w:ascii="Times New Roman" w:eastAsia="Times New Roman" w:hAnsi="Times New Roman"/>
        </w:rPr>
      </w:pPr>
    </w:p>
    <w:p w:rsidR="00760D48" w:rsidRDefault="00760D48" w:rsidP="00760D48">
      <w:pPr>
        <w:widowControl/>
        <w:numPr>
          <w:ilvl w:val="0"/>
          <w:numId w:val="2"/>
        </w:numPr>
        <w:tabs>
          <w:tab w:val="left" w:pos="215"/>
        </w:tabs>
        <w:autoSpaceDE/>
        <w:autoSpaceDN/>
        <w:spacing w:line="274" w:lineRule="auto"/>
        <w:ind w:firstLine="8"/>
        <w:jc w:val="both"/>
        <w:rPr>
          <w:rFonts w:ascii="Arial" w:eastAsia="Arial" w:hAnsi="Arial"/>
          <w:sz w:val="19"/>
        </w:rPr>
      </w:pPr>
      <w:r>
        <w:rPr>
          <w:rFonts w:ascii="Arial" w:eastAsia="Arial" w:hAnsi="Arial"/>
          <w:sz w:val="19"/>
        </w:rPr>
        <w:t>4 mEq/l) (Fig. 2). The Kaplan-Meier curves revealed a significantly worse cumulative outcome in patients with serum Potassium level below 4 mEq/l.</w:t>
      </w:r>
    </w:p>
    <w:p w:rsidR="00760D48" w:rsidRDefault="00760D48" w:rsidP="00760D48">
      <w:pPr>
        <w:spacing w:line="1" w:lineRule="exact"/>
        <w:rPr>
          <w:rFonts w:ascii="Arial" w:eastAsia="Arial" w:hAnsi="Arial"/>
          <w:sz w:val="19"/>
        </w:rPr>
      </w:pPr>
    </w:p>
    <w:p w:rsidR="00760D48" w:rsidRDefault="00760D48" w:rsidP="00760D48">
      <w:pPr>
        <w:spacing w:line="301" w:lineRule="auto"/>
        <w:ind w:firstLine="283"/>
        <w:jc w:val="both"/>
        <w:rPr>
          <w:rFonts w:ascii="Arial" w:eastAsia="Arial" w:hAnsi="Arial"/>
          <w:sz w:val="18"/>
        </w:rPr>
      </w:pPr>
      <w:r>
        <w:rPr>
          <w:rFonts w:ascii="Arial" w:eastAsia="Arial" w:hAnsi="Arial"/>
          <w:sz w:val="18"/>
        </w:rPr>
        <w:t>Cumulative MACE for this study was 3.4% (21 pa-tients). The 180 days mortality was 1.28% (8 patient), myocardial infarction 1.76% (11 patients), target vessel revascularization was 1.1% (7 patients) and cardiac failure was 1.1% (7 patients) (Tables 3, 4).</w:t>
      </w:r>
    </w:p>
    <w:p w:rsidR="00760D48" w:rsidRDefault="00760D48" w:rsidP="00760D48">
      <w:pPr>
        <w:spacing w:line="161" w:lineRule="exact"/>
        <w:rPr>
          <w:rFonts w:ascii="Times New Roman" w:eastAsia="Times New Roman" w:hAnsi="Times New Roman"/>
        </w:rPr>
      </w:pPr>
    </w:p>
    <w:p w:rsidR="00760D48" w:rsidRDefault="00760D48" w:rsidP="00760D48">
      <w:pPr>
        <w:spacing w:line="0" w:lineRule="atLeast"/>
        <w:jc w:val="center"/>
        <w:rPr>
          <w:rFonts w:ascii="Arial" w:eastAsia="Arial" w:hAnsi="Arial"/>
          <w:b/>
          <w:color w:val="00547D"/>
          <w:sz w:val="24"/>
        </w:rPr>
      </w:pPr>
      <w:r>
        <w:rPr>
          <w:rFonts w:ascii="Arial" w:eastAsia="Arial" w:hAnsi="Arial"/>
          <w:b/>
          <w:color w:val="00547D"/>
          <w:sz w:val="24"/>
        </w:rPr>
        <w:t>Discussion</w:t>
      </w:r>
    </w:p>
    <w:p w:rsidR="00760D48" w:rsidRDefault="00760D48" w:rsidP="00760D48">
      <w:pPr>
        <w:spacing w:line="263" w:lineRule="exact"/>
        <w:rPr>
          <w:rFonts w:ascii="Times New Roman" w:eastAsia="Times New Roman" w:hAnsi="Times New Roman"/>
        </w:rPr>
      </w:pPr>
    </w:p>
    <w:p w:rsidR="00760D48" w:rsidRDefault="00760D48" w:rsidP="00760D48">
      <w:pPr>
        <w:spacing w:line="312" w:lineRule="auto"/>
        <w:jc w:val="both"/>
        <w:rPr>
          <w:rFonts w:ascii="Arial" w:eastAsia="Arial" w:hAnsi="Arial"/>
          <w:sz w:val="18"/>
        </w:rPr>
      </w:pPr>
      <w:r>
        <w:rPr>
          <w:rFonts w:ascii="Arial" w:eastAsia="Arial" w:hAnsi="Arial"/>
          <w:sz w:val="18"/>
        </w:rPr>
        <w:t>Data from the Systolic Hypertension in the Elderly Program (SHEP) [21] trial has shown that normal potassium level has significantly reduced hazard ration</w:t>
      </w:r>
    </w:p>
    <w:p w:rsidR="00760D48" w:rsidRDefault="00760D48" w:rsidP="00760D48">
      <w:pPr>
        <w:spacing w:line="312" w:lineRule="auto"/>
        <w:jc w:val="both"/>
        <w:rPr>
          <w:rFonts w:ascii="Arial" w:eastAsia="Arial" w:hAnsi="Arial"/>
          <w:sz w:val="18"/>
        </w:rPr>
        <w:sectPr w:rsidR="00760D48">
          <w:type w:val="continuous"/>
          <w:pgSz w:w="11620" w:h="16441"/>
          <w:pgMar w:top="918" w:right="962" w:bottom="144" w:left="1300" w:header="0" w:footer="0" w:gutter="0"/>
          <w:cols w:num="2" w:space="0" w:equalWidth="0">
            <w:col w:w="4460" w:space="440"/>
            <w:col w:w="44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85" w:lineRule="exact"/>
        <w:rPr>
          <w:rFonts w:ascii="Times New Roman" w:eastAsia="Times New Roman" w:hAnsi="Times New Roman"/>
        </w:rPr>
      </w:pPr>
    </w:p>
    <w:p w:rsidR="00760D48" w:rsidRDefault="00760D48" w:rsidP="00760D48">
      <w:pPr>
        <w:tabs>
          <w:tab w:val="left" w:pos="9160"/>
        </w:tabs>
        <w:spacing w:line="0" w:lineRule="atLeast"/>
        <w:ind w:left="3280"/>
        <w:rPr>
          <w:rFonts w:ascii="Arial" w:eastAsia="Arial" w:hAnsi="Arial"/>
          <w:sz w:val="16"/>
        </w:rPr>
      </w:pPr>
      <w:r>
        <w:rPr>
          <w:rFonts w:ascii="Arial" w:eastAsia="Arial" w:hAnsi="Arial"/>
          <w:sz w:val="16"/>
        </w:rPr>
        <w:t>www.journals.viamedica.pl/acta_angiologica</w:t>
      </w:r>
      <w:r>
        <w:rPr>
          <w:rFonts w:ascii="Times New Roman" w:eastAsia="Times New Roman" w:hAnsi="Times New Roman"/>
        </w:rPr>
        <w:tab/>
      </w:r>
      <w:r>
        <w:rPr>
          <w:rFonts w:ascii="Arial" w:eastAsia="Arial" w:hAnsi="Arial"/>
          <w:sz w:val="16"/>
        </w:rPr>
        <w:t>61</w:t>
      </w:r>
    </w:p>
    <w:p w:rsidR="00760D48" w:rsidRDefault="00760D48" w:rsidP="00760D48">
      <w:pPr>
        <w:tabs>
          <w:tab w:val="left" w:pos="9160"/>
        </w:tabs>
        <w:spacing w:line="0" w:lineRule="atLeast"/>
        <w:ind w:left="3280"/>
        <w:rPr>
          <w:rFonts w:ascii="Arial" w:eastAsia="Arial" w:hAnsi="Arial"/>
          <w:sz w:val="16"/>
        </w:rPr>
        <w:sectPr w:rsidR="00760D48">
          <w:type w:val="continuous"/>
          <w:pgSz w:w="11620" w:h="16441"/>
          <w:pgMar w:top="918" w:right="962" w:bottom="144" w:left="1300" w:header="0" w:footer="0" w:gutter="0"/>
          <w:cols w:space="0" w:equalWidth="0">
            <w:col w:w="9360"/>
          </w:cols>
          <w:docGrid w:linePitch="360"/>
        </w:sectPr>
      </w:pPr>
    </w:p>
    <w:p w:rsidR="00760D48" w:rsidRDefault="00760D48" w:rsidP="00760D48">
      <w:pPr>
        <w:spacing w:line="0" w:lineRule="atLeast"/>
        <w:ind w:left="20"/>
        <w:rPr>
          <w:rFonts w:ascii="Arial" w:eastAsia="Arial" w:hAnsi="Arial"/>
          <w:sz w:val="16"/>
        </w:rPr>
      </w:pPr>
      <w:r>
        <w:rPr>
          <w:rFonts w:ascii="Arial" w:eastAsia="Arial" w:hAnsi="Arial"/>
          <w:sz w:val="16"/>
        </w:rPr>
        <w:lastRenderedPageBreak/>
        <w:t>Acta Angiol, 2020, Vol. 26, No. 2</w:t>
      </w:r>
    </w:p>
    <w:p w:rsidR="00760D48" w:rsidRDefault="001D2EC7" w:rsidP="00760D48">
      <w:pPr>
        <w:spacing w:line="20" w:lineRule="exact"/>
        <w:rPr>
          <w:rFonts w:ascii="Times New Roman" w:eastAsia="Times New Roman" w:hAnsi="Times New Roman"/>
        </w:rPr>
      </w:pPr>
      <w:r>
        <w:rPr>
          <w:rFonts w:ascii="Arial" w:eastAsia="Arial" w:hAnsi="Arial"/>
          <w:sz w:val="16"/>
        </w:rPr>
        <w:pict>
          <v:line id="_x0000_s1091" style="position:absolute;z-index:-251590656" from="1.2pt,4.35pt" to="468.9pt,4.35pt" o:userdrawn="t" strokecolor="#6d6e71" strokeweight=".5pt"/>
        </w:pict>
      </w:r>
    </w:p>
    <w:p w:rsidR="00760D48" w:rsidRDefault="00760D48" w:rsidP="00760D48">
      <w:pPr>
        <w:spacing w:line="39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600"/>
        <w:gridCol w:w="20"/>
        <w:gridCol w:w="80"/>
        <w:gridCol w:w="120"/>
        <w:gridCol w:w="800"/>
        <w:gridCol w:w="20"/>
        <w:gridCol w:w="260"/>
        <w:gridCol w:w="640"/>
        <w:gridCol w:w="20"/>
        <w:gridCol w:w="720"/>
        <w:gridCol w:w="220"/>
        <w:gridCol w:w="20"/>
        <w:gridCol w:w="440"/>
        <w:gridCol w:w="460"/>
        <w:gridCol w:w="20"/>
        <w:gridCol w:w="220"/>
        <w:gridCol w:w="640"/>
        <w:gridCol w:w="20"/>
        <w:gridCol w:w="80"/>
        <w:gridCol w:w="140"/>
        <w:gridCol w:w="780"/>
        <w:gridCol w:w="20"/>
        <w:gridCol w:w="280"/>
        <w:gridCol w:w="640"/>
        <w:gridCol w:w="20"/>
        <w:gridCol w:w="700"/>
        <w:gridCol w:w="220"/>
        <w:gridCol w:w="20"/>
        <w:gridCol w:w="440"/>
        <w:gridCol w:w="460"/>
        <w:gridCol w:w="20"/>
        <w:gridCol w:w="240"/>
      </w:tblGrid>
      <w:tr w:rsidR="00760D48" w:rsidTr="00AB18F6">
        <w:trPr>
          <w:trHeight w:val="204"/>
        </w:trPr>
        <w:tc>
          <w:tcPr>
            <w:tcW w:w="620" w:type="dxa"/>
            <w:gridSpan w:val="2"/>
            <w:vMerge w:val="restart"/>
            <w:tcBorders>
              <w:top w:val="single" w:sz="8" w:space="0" w:color="auto"/>
              <w:left w:val="single" w:sz="8" w:space="0" w:color="auto"/>
              <w:bottom w:val="single" w:sz="8" w:space="0" w:color="auto"/>
            </w:tcBorders>
            <w:shd w:val="clear" w:color="auto" w:fill="auto"/>
            <w:vAlign w:val="bottom"/>
          </w:tcPr>
          <w:p w:rsidR="00760D48" w:rsidRDefault="00760D48" w:rsidP="00AB18F6">
            <w:pPr>
              <w:spacing w:line="0" w:lineRule="atLeast"/>
              <w:ind w:left="220"/>
              <w:rPr>
                <w:rFonts w:ascii="Arial" w:eastAsia="Arial" w:hAnsi="Arial"/>
                <w:w w:val="99"/>
                <w:sz w:val="16"/>
              </w:rPr>
            </w:pPr>
            <w:r>
              <w:rPr>
                <w:rFonts w:ascii="Arial" w:eastAsia="Arial" w:hAnsi="Arial"/>
                <w:b/>
                <w:w w:val="99"/>
                <w:sz w:val="16"/>
              </w:rPr>
              <w:t xml:space="preserve">A  </w:t>
            </w:r>
            <w:r>
              <w:rPr>
                <w:rFonts w:ascii="Arial" w:eastAsia="Arial" w:hAnsi="Arial"/>
                <w:w w:val="99"/>
                <w:sz w:val="16"/>
              </w:rPr>
              <w:t>60</w:t>
            </w:r>
          </w:p>
        </w:tc>
        <w:tc>
          <w:tcPr>
            <w:tcW w:w="80" w:type="dxa"/>
            <w:tcBorders>
              <w:top w:val="single" w:sz="8" w:space="0" w:color="auto"/>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1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80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6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64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7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44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46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660" w:type="dxa"/>
            <w:gridSpan w:val="2"/>
            <w:vMerge w:val="restart"/>
            <w:tcBorders>
              <w:top w:val="single" w:sz="8" w:space="0" w:color="auto"/>
              <w:bottom w:val="single" w:sz="8" w:space="0" w:color="auto"/>
            </w:tcBorders>
            <w:shd w:val="clear" w:color="auto" w:fill="auto"/>
            <w:vAlign w:val="bottom"/>
          </w:tcPr>
          <w:p w:rsidR="00760D48" w:rsidRDefault="00760D48" w:rsidP="00AB18F6">
            <w:pPr>
              <w:spacing w:line="0" w:lineRule="atLeast"/>
              <w:ind w:left="200"/>
              <w:rPr>
                <w:rFonts w:ascii="Arial" w:eastAsia="Arial" w:hAnsi="Arial"/>
                <w:sz w:val="16"/>
              </w:rPr>
            </w:pPr>
            <w:r>
              <w:rPr>
                <w:rFonts w:ascii="Arial" w:eastAsia="Arial" w:hAnsi="Arial"/>
                <w:b/>
                <w:sz w:val="16"/>
              </w:rPr>
              <w:t xml:space="preserve">B </w:t>
            </w:r>
            <w:r>
              <w:rPr>
                <w:rFonts w:ascii="Arial" w:eastAsia="Arial" w:hAnsi="Arial"/>
                <w:sz w:val="16"/>
              </w:rPr>
              <w:t>120</w:t>
            </w:r>
          </w:p>
        </w:tc>
        <w:tc>
          <w:tcPr>
            <w:tcW w:w="80" w:type="dxa"/>
            <w:tcBorders>
              <w:top w:val="single" w:sz="8" w:space="0" w:color="auto"/>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140" w:type="dxa"/>
            <w:vMerge w:val="restart"/>
            <w:tcBorders>
              <w:top w:val="single" w:sz="8" w:space="0" w:color="auto"/>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78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8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64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70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44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46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0" w:type="dxa"/>
            <w:tcBorders>
              <w:top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c>
          <w:tcPr>
            <w:tcW w:w="240" w:type="dxa"/>
            <w:tcBorders>
              <w:top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7"/>
              </w:rPr>
            </w:pPr>
          </w:p>
        </w:tc>
      </w:tr>
      <w:tr w:rsidR="00760D48" w:rsidTr="00AB18F6">
        <w:trPr>
          <w:trHeight w:val="77"/>
        </w:trPr>
        <w:tc>
          <w:tcPr>
            <w:tcW w:w="620" w:type="dxa"/>
            <w:gridSpan w:val="2"/>
            <w:vMerge/>
            <w:tcBorders>
              <w:lef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60" w:type="dxa"/>
            <w:gridSpan w:val="2"/>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r>
      <w:tr w:rsidR="00760D48" w:rsidTr="00AB18F6">
        <w:trPr>
          <w:trHeight w:val="263"/>
        </w:trPr>
        <w:tc>
          <w:tcPr>
            <w:tcW w:w="600" w:type="dxa"/>
            <w:vMerge w:val="restart"/>
            <w:tcBorders>
              <w:left w:val="single" w:sz="8" w:space="0" w:color="auto"/>
            </w:tcBorders>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40</w:t>
            </w: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80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6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640" w:type="dxa"/>
            <w:vMerge w:val="restart"/>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100</w:t>
            </w: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78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8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rPr>
            </w:pPr>
          </w:p>
        </w:tc>
      </w:tr>
      <w:tr w:rsidR="00760D48" w:rsidTr="00AB18F6">
        <w:trPr>
          <w:trHeight w:val="69"/>
        </w:trPr>
        <w:tc>
          <w:tcPr>
            <w:tcW w:w="600" w:type="dxa"/>
            <w:vMerge/>
            <w:tcBorders>
              <w:lef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r>
      <w:tr w:rsidR="00760D48" w:rsidTr="00AB18F6">
        <w:trPr>
          <w:trHeight w:val="270"/>
        </w:trPr>
        <w:tc>
          <w:tcPr>
            <w:tcW w:w="600" w:type="dxa"/>
            <w:vMerge w:val="restart"/>
            <w:tcBorders>
              <w:left w:val="single" w:sz="8" w:space="0" w:color="auto"/>
            </w:tcBorders>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40</w:t>
            </w: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80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6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640" w:type="dxa"/>
            <w:vMerge w:val="restart"/>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80</w:t>
            </w: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78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8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r>
      <w:tr w:rsidR="00760D48" w:rsidTr="00AB18F6">
        <w:trPr>
          <w:trHeight w:val="69"/>
        </w:trPr>
        <w:tc>
          <w:tcPr>
            <w:tcW w:w="600" w:type="dxa"/>
            <w:vMerge/>
            <w:tcBorders>
              <w:lef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r>
      <w:tr w:rsidR="00760D48" w:rsidTr="00AB18F6">
        <w:trPr>
          <w:trHeight w:val="273"/>
        </w:trPr>
        <w:tc>
          <w:tcPr>
            <w:tcW w:w="600" w:type="dxa"/>
            <w:vMerge w:val="restart"/>
            <w:tcBorders>
              <w:left w:val="single" w:sz="8" w:space="0" w:color="auto"/>
            </w:tcBorders>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30</w:t>
            </w: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80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6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640" w:type="dxa"/>
            <w:vMerge w:val="restart"/>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60</w:t>
            </w: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78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8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r>
      <w:tr w:rsidR="00760D48" w:rsidTr="00AB18F6">
        <w:trPr>
          <w:trHeight w:val="69"/>
        </w:trPr>
        <w:tc>
          <w:tcPr>
            <w:tcW w:w="600" w:type="dxa"/>
            <w:vMerge/>
            <w:tcBorders>
              <w:lef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r>
      <w:tr w:rsidR="00760D48" w:rsidTr="00AB18F6">
        <w:trPr>
          <w:trHeight w:val="274"/>
        </w:trPr>
        <w:tc>
          <w:tcPr>
            <w:tcW w:w="600" w:type="dxa"/>
            <w:vMerge w:val="restart"/>
            <w:tcBorders>
              <w:left w:val="single" w:sz="8" w:space="0" w:color="auto"/>
            </w:tcBorders>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20</w:t>
            </w: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80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6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640" w:type="dxa"/>
            <w:vMerge w:val="restart"/>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40</w:t>
            </w: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78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8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r>
      <w:tr w:rsidR="00760D48" w:rsidTr="00AB18F6">
        <w:trPr>
          <w:trHeight w:val="71"/>
        </w:trPr>
        <w:tc>
          <w:tcPr>
            <w:tcW w:w="600" w:type="dxa"/>
            <w:vMerge/>
            <w:tcBorders>
              <w:lef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r>
      <w:tr w:rsidR="00760D48" w:rsidTr="00AB18F6">
        <w:trPr>
          <w:trHeight w:val="270"/>
        </w:trPr>
        <w:tc>
          <w:tcPr>
            <w:tcW w:w="600" w:type="dxa"/>
            <w:vMerge w:val="restart"/>
            <w:tcBorders>
              <w:left w:val="single" w:sz="8" w:space="0" w:color="auto"/>
            </w:tcBorders>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10</w:t>
            </w: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1080" w:type="dxa"/>
            <w:gridSpan w:val="3"/>
            <w:vMerge w:val="restart"/>
            <w:shd w:val="clear" w:color="auto" w:fill="auto"/>
            <w:vAlign w:val="bottom"/>
          </w:tcPr>
          <w:p w:rsidR="00760D48" w:rsidRDefault="00760D48" w:rsidP="00AB18F6">
            <w:pPr>
              <w:spacing w:line="0" w:lineRule="atLeast"/>
              <w:ind w:right="140"/>
              <w:jc w:val="right"/>
              <w:rPr>
                <w:rFonts w:ascii="Arial" w:eastAsia="Arial" w:hAnsi="Arial"/>
                <w:w w:val="85"/>
                <w:sz w:val="16"/>
              </w:rPr>
            </w:pPr>
            <w:r>
              <w:rPr>
                <w:rFonts w:ascii="Arial" w:eastAsia="Arial" w:hAnsi="Arial"/>
                <w:w w:val="85"/>
                <w:sz w:val="16"/>
              </w:rPr>
              <w:t>SYNTAX score</w:t>
            </w: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640" w:type="dxa"/>
            <w:vMerge w:val="restart"/>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20</w:t>
            </w: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1080" w:type="dxa"/>
            <w:gridSpan w:val="3"/>
            <w:vMerge w:val="restart"/>
            <w:shd w:val="clear" w:color="auto" w:fill="auto"/>
            <w:vAlign w:val="bottom"/>
          </w:tcPr>
          <w:p w:rsidR="00760D48" w:rsidRDefault="00760D48" w:rsidP="00AB18F6">
            <w:pPr>
              <w:spacing w:line="0" w:lineRule="atLeast"/>
              <w:ind w:right="80"/>
              <w:jc w:val="right"/>
              <w:rPr>
                <w:rFonts w:ascii="Arial" w:eastAsia="Arial" w:hAnsi="Arial"/>
                <w:w w:val="89"/>
                <w:sz w:val="16"/>
              </w:rPr>
            </w:pPr>
            <w:r>
              <w:rPr>
                <w:rFonts w:ascii="Arial" w:eastAsia="Arial" w:hAnsi="Arial"/>
                <w:w w:val="89"/>
                <w:sz w:val="16"/>
              </w:rPr>
              <w:t>GENSINI score</w:t>
            </w: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3"/>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3"/>
              </w:rPr>
            </w:pPr>
          </w:p>
        </w:tc>
      </w:tr>
      <w:tr w:rsidR="00760D48" w:rsidTr="00AB18F6">
        <w:trPr>
          <w:trHeight w:val="69"/>
        </w:trPr>
        <w:tc>
          <w:tcPr>
            <w:tcW w:w="600" w:type="dxa"/>
            <w:vMerge/>
            <w:tcBorders>
              <w:lef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080" w:type="dxa"/>
            <w:gridSpan w:val="3"/>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080" w:type="dxa"/>
            <w:gridSpan w:val="3"/>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6"/>
              </w:rPr>
            </w:pPr>
          </w:p>
        </w:tc>
      </w:tr>
      <w:tr w:rsidR="00760D48" w:rsidTr="00AB18F6">
        <w:trPr>
          <w:trHeight w:val="227"/>
        </w:trPr>
        <w:tc>
          <w:tcPr>
            <w:tcW w:w="600" w:type="dxa"/>
            <w:vMerge w:val="restart"/>
            <w:tcBorders>
              <w:left w:val="single" w:sz="8" w:space="0" w:color="auto"/>
            </w:tcBorders>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0</w:t>
            </w: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80" w:type="dxa"/>
            <w:gridSpan w:val="3"/>
            <w:vMerge/>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40" w:type="dxa"/>
            <w:vMerge w:val="restart"/>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0</w:t>
            </w: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80" w:type="dxa"/>
            <w:gridSpan w:val="3"/>
            <w:vMerge/>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118"/>
        </w:trPr>
        <w:tc>
          <w:tcPr>
            <w:tcW w:w="600" w:type="dxa"/>
            <w:vMerge/>
            <w:tcBorders>
              <w:lef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640" w:type="dxa"/>
            <w:vMerge/>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8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4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78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64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70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r>
      <w:tr w:rsidR="00760D48" w:rsidTr="00AB18F6">
        <w:trPr>
          <w:trHeight w:val="191"/>
        </w:trPr>
        <w:tc>
          <w:tcPr>
            <w:tcW w:w="820" w:type="dxa"/>
            <w:gridSpan w:val="4"/>
            <w:tcBorders>
              <w:left w:val="single" w:sz="8" w:space="0" w:color="auto"/>
            </w:tcBorders>
            <w:shd w:val="clear" w:color="auto" w:fill="auto"/>
            <w:vAlign w:val="bottom"/>
          </w:tcPr>
          <w:p w:rsidR="00760D48" w:rsidRDefault="00760D48" w:rsidP="00AB18F6">
            <w:pPr>
              <w:spacing w:line="0" w:lineRule="atLeast"/>
              <w:ind w:right="100"/>
              <w:jc w:val="right"/>
              <w:rPr>
                <w:rFonts w:ascii="Arial" w:eastAsia="Arial" w:hAnsi="Arial"/>
                <w:sz w:val="16"/>
              </w:rPr>
            </w:pPr>
            <w:r>
              <w:rPr>
                <w:rFonts w:ascii="Arial" w:eastAsia="Arial" w:hAnsi="Arial"/>
                <w:sz w:val="16"/>
              </w:rPr>
              <w:t>0</w:t>
            </w:r>
          </w:p>
        </w:tc>
        <w:tc>
          <w:tcPr>
            <w:tcW w:w="1080" w:type="dxa"/>
            <w:gridSpan w:val="3"/>
            <w:shd w:val="clear" w:color="auto" w:fill="auto"/>
            <w:vAlign w:val="bottom"/>
          </w:tcPr>
          <w:p w:rsidR="00760D48" w:rsidRDefault="00760D48" w:rsidP="00AB18F6">
            <w:pPr>
              <w:spacing w:line="0" w:lineRule="atLeast"/>
              <w:ind w:right="240"/>
              <w:jc w:val="right"/>
              <w:rPr>
                <w:rFonts w:ascii="Arial" w:eastAsia="Arial" w:hAnsi="Arial"/>
                <w:sz w:val="16"/>
              </w:rPr>
            </w:pPr>
            <w:r>
              <w:rPr>
                <w:rFonts w:ascii="Arial" w:eastAsia="Arial" w:hAnsi="Arial"/>
                <w:sz w:val="16"/>
              </w:rPr>
              <w:t>2</w:t>
            </w:r>
          </w:p>
        </w:tc>
        <w:tc>
          <w:tcPr>
            <w:tcW w:w="1380" w:type="dxa"/>
            <w:gridSpan w:val="3"/>
            <w:shd w:val="clear" w:color="auto" w:fill="auto"/>
            <w:vAlign w:val="bottom"/>
          </w:tcPr>
          <w:p w:rsidR="00760D48" w:rsidRDefault="00760D48" w:rsidP="00AB18F6">
            <w:pPr>
              <w:spacing w:line="0" w:lineRule="atLeast"/>
              <w:ind w:right="680"/>
              <w:jc w:val="right"/>
              <w:rPr>
                <w:rFonts w:ascii="Arial" w:eastAsia="Arial" w:hAnsi="Arial"/>
                <w:sz w:val="16"/>
              </w:rPr>
            </w:pPr>
            <w:r>
              <w:rPr>
                <w:rFonts w:ascii="Arial" w:eastAsia="Arial" w:hAnsi="Arial"/>
                <w:sz w:val="16"/>
              </w:rPr>
              <w:t>4</w:t>
            </w:r>
          </w:p>
        </w:tc>
        <w:tc>
          <w:tcPr>
            <w:tcW w:w="680" w:type="dxa"/>
            <w:gridSpan w:val="3"/>
            <w:shd w:val="clear" w:color="auto" w:fill="auto"/>
            <w:vAlign w:val="bottom"/>
          </w:tcPr>
          <w:p w:rsidR="00760D48" w:rsidRDefault="00760D48" w:rsidP="00AB18F6">
            <w:pPr>
              <w:spacing w:line="0" w:lineRule="atLeast"/>
              <w:ind w:right="420"/>
              <w:jc w:val="right"/>
              <w:rPr>
                <w:rFonts w:ascii="Arial" w:eastAsia="Arial" w:hAnsi="Arial"/>
                <w:sz w:val="16"/>
              </w:rPr>
            </w:pPr>
            <w:r>
              <w:rPr>
                <w:rFonts w:ascii="Arial" w:eastAsia="Arial" w:hAnsi="Arial"/>
                <w:sz w:val="16"/>
              </w:rPr>
              <w:t>6</w:t>
            </w:r>
          </w:p>
        </w:tc>
        <w:tc>
          <w:tcPr>
            <w:tcW w:w="700" w:type="dxa"/>
            <w:gridSpan w:val="3"/>
            <w:shd w:val="clear" w:color="auto" w:fill="auto"/>
            <w:vAlign w:val="bottom"/>
          </w:tcPr>
          <w:p w:rsidR="00760D48" w:rsidRDefault="00760D48" w:rsidP="00AB18F6">
            <w:pPr>
              <w:spacing w:line="0" w:lineRule="atLeast"/>
              <w:ind w:right="200"/>
              <w:jc w:val="right"/>
              <w:rPr>
                <w:rFonts w:ascii="Arial" w:eastAsia="Arial" w:hAnsi="Arial"/>
                <w:sz w:val="16"/>
              </w:rPr>
            </w:pPr>
            <w:r>
              <w:rPr>
                <w:rFonts w:ascii="Arial" w:eastAsia="Arial" w:hAnsi="Arial"/>
                <w:sz w:val="16"/>
              </w:rPr>
              <w:t>8</w:t>
            </w:r>
          </w:p>
        </w:tc>
        <w:tc>
          <w:tcPr>
            <w:tcW w:w="880" w:type="dxa"/>
            <w:gridSpan w:val="4"/>
            <w:shd w:val="clear" w:color="auto" w:fill="auto"/>
            <w:vAlign w:val="bottom"/>
          </w:tcPr>
          <w:p w:rsidR="00760D48" w:rsidRDefault="00760D48" w:rsidP="00AB18F6">
            <w:pPr>
              <w:spacing w:line="0" w:lineRule="atLeast"/>
              <w:ind w:right="120"/>
              <w:jc w:val="right"/>
              <w:rPr>
                <w:rFonts w:ascii="Arial" w:eastAsia="Arial" w:hAnsi="Arial"/>
                <w:sz w:val="16"/>
              </w:rPr>
            </w:pPr>
            <w:r>
              <w:rPr>
                <w:rFonts w:ascii="Arial" w:eastAsia="Arial" w:hAnsi="Arial"/>
                <w:sz w:val="16"/>
              </w:rPr>
              <w:t>0</w:t>
            </w:r>
          </w:p>
        </w:tc>
        <w:tc>
          <w:tcPr>
            <w:tcW w:w="1080" w:type="dxa"/>
            <w:gridSpan w:val="3"/>
            <w:shd w:val="clear" w:color="auto" w:fill="auto"/>
            <w:vAlign w:val="bottom"/>
          </w:tcPr>
          <w:p w:rsidR="00760D48" w:rsidRDefault="00760D48" w:rsidP="00AB18F6">
            <w:pPr>
              <w:spacing w:line="0" w:lineRule="atLeast"/>
              <w:ind w:right="260"/>
              <w:jc w:val="right"/>
              <w:rPr>
                <w:rFonts w:ascii="Arial" w:eastAsia="Arial" w:hAnsi="Arial"/>
                <w:sz w:val="16"/>
              </w:rPr>
            </w:pPr>
            <w:r>
              <w:rPr>
                <w:rFonts w:ascii="Arial" w:eastAsia="Arial" w:hAnsi="Arial"/>
                <w:sz w:val="16"/>
              </w:rPr>
              <w:t>2</w:t>
            </w:r>
          </w:p>
        </w:tc>
        <w:tc>
          <w:tcPr>
            <w:tcW w:w="1360" w:type="dxa"/>
            <w:gridSpan w:val="3"/>
            <w:shd w:val="clear" w:color="auto" w:fill="auto"/>
            <w:vAlign w:val="bottom"/>
          </w:tcPr>
          <w:p w:rsidR="00760D48" w:rsidRDefault="00760D48" w:rsidP="00AB18F6">
            <w:pPr>
              <w:spacing w:line="0" w:lineRule="atLeast"/>
              <w:ind w:right="680"/>
              <w:jc w:val="right"/>
              <w:rPr>
                <w:rFonts w:ascii="Arial" w:eastAsia="Arial" w:hAnsi="Arial"/>
                <w:sz w:val="16"/>
              </w:rPr>
            </w:pPr>
            <w:r>
              <w:rPr>
                <w:rFonts w:ascii="Arial" w:eastAsia="Arial" w:hAnsi="Arial"/>
                <w:sz w:val="16"/>
              </w:rPr>
              <w:t>4</w:t>
            </w:r>
          </w:p>
        </w:tc>
        <w:tc>
          <w:tcPr>
            <w:tcW w:w="680" w:type="dxa"/>
            <w:gridSpan w:val="3"/>
            <w:shd w:val="clear" w:color="auto" w:fill="auto"/>
            <w:vAlign w:val="bottom"/>
          </w:tcPr>
          <w:p w:rsidR="00760D48" w:rsidRDefault="00760D48" w:rsidP="00AB18F6">
            <w:pPr>
              <w:spacing w:line="0" w:lineRule="atLeast"/>
              <w:ind w:right="420"/>
              <w:jc w:val="right"/>
              <w:rPr>
                <w:rFonts w:ascii="Arial" w:eastAsia="Arial" w:hAnsi="Arial"/>
                <w:sz w:val="16"/>
              </w:rPr>
            </w:pPr>
            <w:r>
              <w:rPr>
                <w:rFonts w:ascii="Arial" w:eastAsia="Arial" w:hAnsi="Arial"/>
                <w:sz w:val="16"/>
              </w:rPr>
              <w:t>6</w:t>
            </w:r>
          </w:p>
        </w:tc>
        <w:tc>
          <w:tcPr>
            <w:tcW w:w="720" w:type="dxa"/>
            <w:gridSpan w:val="3"/>
            <w:tcBorders>
              <w:right w:val="single" w:sz="8" w:space="0" w:color="auto"/>
            </w:tcBorders>
            <w:shd w:val="clear" w:color="auto" w:fill="auto"/>
            <w:vAlign w:val="bottom"/>
          </w:tcPr>
          <w:p w:rsidR="00760D48" w:rsidRDefault="00760D48" w:rsidP="00AB18F6">
            <w:pPr>
              <w:spacing w:line="0" w:lineRule="atLeast"/>
              <w:ind w:right="200"/>
              <w:jc w:val="right"/>
              <w:rPr>
                <w:rFonts w:ascii="Arial" w:eastAsia="Arial" w:hAnsi="Arial"/>
                <w:sz w:val="16"/>
              </w:rPr>
            </w:pPr>
            <w:r>
              <w:rPr>
                <w:rFonts w:ascii="Arial" w:eastAsia="Arial" w:hAnsi="Arial"/>
                <w:sz w:val="16"/>
              </w:rPr>
              <w:t>8</w:t>
            </w:r>
          </w:p>
        </w:tc>
      </w:tr>
      <w:tr w:rsidR="00760D48" w:rsidTr="00AB18F6">
        <w:trPr>
          <w:trHeight w:val="234"/>
        </w:trPr>
        <w:tc>
          <w:tcPr>
            <w:tcW w:w="600" w:type="dxa"/>
            <w:tcBorders>
              <w:lef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80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6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1380" w:type="dxa"/>
            <w:gridSpan w:val="3"/>
            <w:shd w:val="clear" w:color="auto" w:fill="auto"/>
            <w:vAlign w:val="bottom"/>
          </w:tcPr>
          <w:p w:rsidR="00760D48" w:rsidRDefault="00760D48" w:rsidP="00AB18F6">
            <w:pPr>
              <w:spacing w:line="0" w:lineRule="atLeast"/>
              <w:ind w:right="60"/>
              <w:jc w:val="center"/>
              <w:rPr>
                <w:rFonts w:ascii="Arial" w:eastAsia="Arial" w:hAnsi="Arial"/>
                <w:w w:val="86"/>
                <w:sz w:val="16"/>
              </w:rPr>
            </w:pPr>
            <w:r>
              <w:rPr>
                <w:rFonts w:ascii="Arial" w:eastAsia="Arial" w:hAnsi="Arial"/>
                <w:w w:val="86"/>
                <w:sz w:val="16"/>
              </w:rPr>
              <w:t>Serum potassium</w:t>
            </w:r>
          </w:p>
        </w:tc>
        <w:tc>
          <w:tcPr>
            <w:tcW w:w="2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64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78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8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1360" w:type="dxa"/>
            <w:gridSpan w:val="3"/>
            <w:shd w:val="clear" w:color="auto" w:fill="auto"/>
            <w:vAlign w:val="bottom"/>
          </w:tcPr>
          <w:p w:rsidR="00760D48" w:rsidRDefault="00760D48" w:rsidP="00AB18F6">
            <w:pPr>
              <w:spacing w:line="0" w:lineRule="atLeast"/>
              <w:ind w:right="80"/>
              <w:jc w:val="center"/>
              <w:rPr>
                <w:rFonts w:ascii="Arial" w:eastAsia="Arial" w:hAnsi="Arial"/>
                <w:w w:val="86"/>
                <w:sz w:val="16"/>
              </w:rPr>
            </w:pPr>
            <w:r>
              <w:rPr>
                <w:rFonts w:ascii="Arial" w:eastAsia="Arial" w:hAnsi="Arial"/>
                <w:w w:val="86"/>
                <w:sz w:val="16"/>
              </w:rPr>
              <w:t>Serum potassium</w:t>
            </w:r>
          </w:p>
        </w:tc>
        <w:tc>
          <w:tcPr>
            <w:tcW w:w="2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44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rPr>
            </w:pPr>
          </w:p>
        </w:tc>
        <w:tc>
          <w:tcPr>
            <w:tcW w:w="240" w:type="dxa"/>
            <w:tcBorders>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rPr>
            </w:pPr>
          </w:p>
        </w:tc>
      </w:tr>
      <w:tr w:rsidR="00760D48" w:rsidTr="00AB18F6">
        <w:trPr>
          <w:trHeight w:val="46"/>
        </w:trPr>
        <w:tc>
          <w:tcPr>
            <w:tcW w:w="600" w:type="dxa"/>
            <w:tcBorders>
              <w:left w:val="single" w:sz="8" w:space="0" w:color="auto"/>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80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64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64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78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64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c>
          <w:tcPr>
            <w:tcW w:w="240" w:type="dxa"/>
            <w:tcBorders>
              <w:bottom w:val="single" w:sz="8" w:space="0" w:color="auto"/>
              <w:right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4"/>
              </w:rPr>
            </w:pPr>
          </w:p>
        </w:tc>
      </w:tr>
    </w:tbl>
    <w:p w:rsidR="00760D48" w:rsidRDefault="00760D48" w:rsidP="00760D48">
      <w:pPr>
        <w:spacing w:line="20" w:lineRule="exact"/>
        <w:rPr>
          <w:rFonts w:ascii="Times New Roman" w:eastAsia="Times New Roman" w:hAnsi="Times New Roman"/>
        </w:rPr>
      </w:pPr>
      <w:r>
        <w:rPr>
          <w:rFonts w:ascii="Times New Roman" w:eastAsia="Times New Roman" w:hAnsi="Times New Roman"/>
          <w:noProof/>
          <w:sz w:val="4"/>
          <w:lang w:bidi="ar-SA"/>
        </w:rPr>
        <w:drawing>
          <wp:anchor distT="0" distB="0" distL="114300" distR="114300" simplePos="0" relativeHeight="251726848" behindDoc="1" locked="0" layoutInCell="1" allowOverlap="1">
            <wp:simplePos x="0" y="0"/>
            <wp:positionH relativeFrom="column">
              <wp:posOffset>450215</wp:posOffset>
            </wp:positionH>
            <wp:positionV relativeFrom="paragraph">
              <wp:posOffset>-1806575</wp:posOffset>
            </wp:positionV>
            <wp:extent cx="5347335" cy="14141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47335" cy="141414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265" w:lineRule="exact"/>
        <w:rPr>
          <w:rFonts w:ascii="Times New Roman" w:eastAsia="Times New Roman" w:hAnsi="Times New Roman"/>
        </w:rPr>
      </w:pPr>
    </w:p>
    <w:p w:rsidR="00760D48" w:rsidRDefault="00760D48" w:rsidP="00760D48">
      <w:pPr>
        <w:spacing w:line="271" w:lineRule="auto"/>
        <w:ind w:left="20"/>
        <w:jc w:val="both"/>
        <w:rPr>
          <w:rFonts w:ascii="Arial" w:eastAsia="Arial" w:hAnsi="Arial"/>
          <w:sz w:val="18"/>
        </w:rPr>
      </w:pPr>
      <w:r>
        <w:rPr>
          <w:rFonts w:ascii="Arial" w:eastAsia="Arial" w:hAnsi="Arial"/>
          <w:b/>
          <w:sz w:val="18"/>
        </w:rPr>
        <w:t xml:space="preserve">Figure 1. </w:t>
      </w:r>
      <w:r>
        <w:rPr>
          <w:rFonts w:ascii="Arial" w:eastAsia="Arial" w:hAnsi="Arial"/>
          <w:sz w:val="18"/>
        </w:rPr>
        <w:t>Correlation of serum potassium level with (a) SYNTAX score and (b) Gensini score. Pearson’s correlation analysis show</w:t>
      </w:r>
      <w:r>
        <w:rPr>
          <w:rFonts w:ascii="Arial" w:eastAsia="Arial" w:hAnsi="Arial"/>
          <w:b/>
          <w:sz w:val="18"/>
        </w:rPr>
        <w:t xml:space="preserve"> </w:t>
      </w:r>
      <w:r>
        <w:rPr>
          <w:rFonts w:ascii="Arial" w:eastAsia="Arial" w:hAnsi="Arial"/>
          <w:sz w:val="18"/>
        </w:rPr>
        <w:t>negative correlation for both [SYNTAX score (r = –0.06) and Gensini score (r = – 0.64)]</w:t>
      </w:r>
    </w:p>
    <w:p w:rsidR="00760D48" w:rsidRDefault="00760D48" w:rsidP="00760D48">
      <w:pPr>
        <w:spacing w:line="271" w:lineRule="auto"/>
        <w:ind w:left="20"/>
        <w:jc w:val="both"/>
        <w:rPr>
          <w:rFonts w:ascii="Arial" w:eastAsia="Arial" w:hAnsi="Arial"/>
          <w:sz w:val="18"/>
        </w:rPr>
        <w:sectPr w:rsidR="00760D48">
          <w:pgSz w:w="11620" w:h="16441"/>
          <w:pgMar w:top="919" w:right="1302" w:bottom="144" w:left="940" w:header="0" w:footer="0" w:gutter="0"/>
          <w:cols w:space="0" w:equalWidth="0">
            <w:col w:w="938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71" w:lineRule="exact"/>
        <w:rPr>
          <w:rFonts w:ascii="Times New Roman" w:eastAsia="Times New Roman" w:hAnsi="Times New Roman"/>
        </w:rPr>
      </w:pPr>
    </w:p>
    <w:tbl>
      <w:tblPr>
        <w:tblW w:w="0" w:type="auto"/>
        <w:tblInd w:w="80" w:type="dxa"/>
        <w:tblLayout w:type="fixed"/>
        <w:tblCellMar>
          <w:left w:w="0" w:type="dxa"/>
          <w:right w:w="0" w:type="dxa"/>
        </w:tblCellMar>
        <w:tblLook w:val="0000" w:firstRow="0" w:lastRow="0" w:firstColumn="0" w:lastColumn="0" w:noHBand="0" w:noVBand="0"/>
      </w:tblPr>
      <w:tblGrid>
        <w:gridCol w:w="200"/>
        <w:gridCol w:w="240"/>
        <w:gridCol w:w="80"/>
        <w:gridCol w:w="20"/>
        <w:gridCol w:w="160"/>
        <w:gridCol w:w="460"/>
        <w:gridCol w:w="120"/>
        <w:gridCol w:w="120"/>
        <w:gridCol w:w="80"/>
        <w:gridCol w:w="120"/>
        <w:gridCol w:w="40"/>
        <w:gridCol w:w="100"/>
        <w:gridCol w:w="80"/>
        <w:gridCol w:w="100"/>
        <w:gridCol w:w="80"/>
        <w:gridCol w:w="80"/>
        <w:gridCol w:w="120"/>
        <w:gridCol w:w="60"/>
        <w:gridCol w:w="140"/>
        <w:gridCol w:w="120"/>
        <w:gridCol w:w="20"/>
        <w:gridCol w:w="120"/>
        <w:gridCol w:w="20"/>
        <w:gridCol w:w="540"/>
        <w:gridCol w:w="40"/>
        <w:gridCol w:w="60"/>
        <w:gridCol w:w="40"/>
        <w:gridCol w:w="140"/>
        <w:gridCol w:w="200"/>
        <w:gridCol w:w="580"/>
      </w:tblGrid>
      <w:tr w:rsidR="00760D48" w:rsidTr="00AB18F6">
        <w:trPr>
          <w:trHeight w:val="207"/>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24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2460" w:type="dxa"/>
            <w:gridSpan w:val="17"/>
            <w:shd w:val="clear" w:color="auto" w:fill="auto"/>
            <w:vAlign w:val="bottom"/>
          </w:tcPr>
          <w:p w:rsidR="00760D48" w:rsidRDefault="00760D48" w:rsidP="00AB18F6">
            <w:pPr>
              <w:spacing w:line="0" w:lineRule="atLeast"/>
              <w:rPr>
                <w:rFonts w:ascii="Arial" w:eastAsia="Arial" w:hAnsi="Arial"/>
                <w:sz w:val="16"/>
              </w:rPr>
            </w:pPr>
            <w:r>
              <w:rPr>
                <w:rFonts w:ascii="Arial" w:eastAsia="Arial" w:hAnsi="Arial"/>
                <w:sz w:val="16"/>
              </w:rPr>
              <w:t>Survival functions</w:t>
            </w:r>
          </w:p>
        </w:tc>
      </w:tr>
      <w:tr w:rsidR="00760D48" w:rsidTr="00AB18F6">
        <w:trPr>
          <w:trHeight w:val="22"/>
        </w:trPr>
        <w:tc>
          <w:tcPr>
            <w:tcW w:w="20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4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6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46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0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0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4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54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4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0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580" w:type="dxa"/>
            <w:tcBorders>
              <w:bottom w:val="single" w:sz="8" w:space="0" w:color="auto"/>
            </w:tcBorders>
            <w:shd w:val="clear" w:color="auto" w:fill="auto"/>
            <w:vAlign w:val="bottom"/>
          </w:tcPr>
          <w:p w:rsidR="00760D48" w:rsidRDefault="00760D48" w:rsidP="00AB18F6">
            <w:pPr>
              <w:spacing w:line="20" w:lineRule="exact"/>
              <w:rPr>
                <w:rFonts w:ascii="Times New Roman" w:eastAsia="Times New Roman" w:hAnsi="Times New Roman"/>
                <w:sz w:val="1"/>
              </w:rPr>
            </w:pPr>
          </w:p>
        </w:tc>
      </w:tr>
      <w:tr w:rsidR="00760D48" w:rsidTr="00AB18F6">
        <w:trPr>
          <w:trHeight w:val="324"/>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240" w:type="dxa"/>
            <w:shd w:val="clear" w:color="auto" w:fill="auto"/>
            <w:vAlign w:val="bottom"/>
          </w:tcPr>
          <w:p w:rsidR="00760D48" w:rsidRDefault="00760D48" w:rsidP="00AB18F6">
            <w:pPr>
              <w:spacing w:line="0" w:lineRule="atLeast"/>
              <w:jc w:val="right"/>
              <w:rPr>
                <w:rFonts w:ascii="Arial" w:eastAsia="Arial" w:hAnsi="Arial"/>
                <w:w w:val="89"/>
                <w:sz w:val="16"/>
              </w:rPr>
            </w:pPr>
            <w:r>
              <w:rPr>
                <w:rFonts w:ascii="Arial" w:eastAsia="Arial" w:hAnsi="Arial"/>
                <w:w w:val="89"/>
                <w:sz w:val="16"/>
              </w:rPr>
              <w:t>1.0</w:t>
            </w:r>
          </w:p>
        </w:tc>
        <w:tc>
          <w:tcPr>
            <w:tcW w:w="8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6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8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0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8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0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8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8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2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2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060" w:type="dxa"/>
            <w:gridSpan w:val="6"/>
            <w:shd w:val="clear" w:color="auto" w:fill="auto"/>
            <w:vAlign w:val="bottom"/>
          </w:tcPr>
          <w:p w:rsidR="00760D48" w:rsidRDefault="00760D48" w:rsidP="00AB18F6">
            <w:pPr>
              <w:spacing w:line="0" w:lineRule="atLeast"/>
              <w:rPr>
                <w:rFonts w:ascii="Arial" w:eastAsia="Arial" w:hAnsi="Arial"/>
                <w:sz w:val="14"/>
              </w:rPr>
            </w:pPr>
            <w:r>
              <w:rPr>
                <w:rFonts w:ascii="Arial" w:eastAsia="Arial" w:hAnsi="Arial"/>
                <w:sz w:val="14"/>
              </w:rPr>
              <w:t>Potasium</w:t>
            </w:r>
          </w:p>
        </w:tc>
      </w:tr>
      <w:tr w:rsidR="00760D48" w:rsidTr="00AB18F6">
        <w:trPr>
          <w:trHeight w:val="21"/>
        </w:trPr>
        <w:tc>
          <w:tcPr>
            <w:tcW w:w="20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4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6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460" w:type="dxa"/>
            <w:tcBorders>
              <w:right w:val="single" w:sz="8" w:space="0" w:color="2E3092"/>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4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0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0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tcBorders>
              <w:right w:val="single" w:sz="8" w:space="0" w:color="00A651"/>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6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4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tcBorders>
              <w:top w:val="single" w:sz="8" w:space="0" w:color="2E3092"/>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0" w:type="dxa"/>
            <w:tcBorders>
              <w:top w:val="single" w:sz="8" w:space="0" w:color="2E3092"/>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0" w:type="dxa"/>
            <w:tcBorders>
              <w:top w:val="single" w:sz="8" w:space="0" w:color="2E3092"/>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600" w:type="dxa"/>
            <w:gridSpan w:val="7"/>
            <w:shd w:val="clear" w:color="auto" w:fill="auto"/>
            <w:vAlign w:val="bottom"/>
          </w:tcPr>
          <w:p w:rsidR="00760D48" w:rsidRDefault="00760D48" w:rsidP="00AB18F6">
            <w:pPr>
              <w:spacing w:line="21" w:lineRule="exact"/>
              <w:ind w:left="40"/>
              <w:rPr>
                <w:rFonts w:ascii="Arial" w:eastAsia="Arial" w:hAnsi="Arial"/>
                <w:sz w:val="2"/>
              </w:rPr>
            </w:pPr>
            <w:r>
              <w:rPr>
                <w:rFonts w:ascii="Arial" w:eastAsia="Arial" w:hAnsi="Arial"/>
                <w:sz w:val="2"/>
              </w:rPr>
              <w:t>Serum potasium &lt; 4 mEq/l</w:t>
            </w:r>
          </w:p>
        </w:tc>
      </w:tr>
      <w:tr w:rsidR="00760D48" w:rsidTr="00AB18F6">
        <w:trPr>
          <w:trHeight w:val="148"/>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24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46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2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2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2"/>
              </w:rPr>
            </w:pPr>
          </w:p>
        </w:tc>
        <w:tc>
          <w:tcPr>
            <w:tcW w:w="1600" w:type="dxa"/>
            <w:gridSpan w:val="7"/>
            <w:shd w:val="clear" w:color="auto" w:fill="auto"/>
            <w:vAlign w:val="bottom"/>
          </w:tcPr>
          <w:p w:rsidR="00760D48" w:rsidRDefault="00760D48" w:rsidP="00AB18F6">
            <w:pPr>
              <w:spacing w:line="148" w:lineRule="exact"/>
              <w:ind w:left="40"/>
              <w:rPr>
                <w:rFonts w:ascii="Arial" w:eastAsia="Arial" w:hAnsi="Arial"/>
                <w:sz w:val="14"/>
              </w:rPr>
            </w:pPr>
            <w:r>
              <w:rPr>
                <w:rFonts w:ascii="Arial" w:eastAsia="Arial" w:hAnsi="Arial"/>
                <w:sz w:val="14"/>
              </w:rPr>
              <w:t>Serum potasium 4 mEq/l</w:t>
            </w:r>
          </w:p>
        </w:tc>
      </w:tr>
      <w:tr w:rsidR="00760D48" w:rsidTr="00AB18F6">
        <w:trPr>
          <w:trHeight w:val="108"/>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240" w:type="dxa"/>
            <w:vMerge w:val="restart"/>
            <w:shd w:val="clear" w:color="auto" w:fill="auto"/>
            <w:vAlign w:val="bottom"/>
          </w:tcPr>
          <w:p w:rsidR="00760D48" w:rsidRDefault="00760D48" w:rsidP="00AB18F6">
            <w:pPr>
              <w:spacing w:line="0" w:lineRule="atLeast"/>
              <w:jc w:val="right"/>
              <w:rPr>
                <w:rFonts w:ascii="Arial" w:eastAsia="Arial" w:hAnsi="Arial"/>
                <w:w w:val="89"/>
                <w:sz w:val="16"/>
              </w:rPr>
            </w:pPr>
            <w:r>
              <w:rPr>
                <w:rFonts w:ascii="Arial" w:eastAsia="Arial" w:hAnsi="Arial"/>
                <w:w w:val="89"/>
                <w:sz w:val="16"/>
              </w:rPr>
              <w:t>0.8</w:t>
            </w: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2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2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6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40" w:type="dxa"/>
            <w:vMerge w:val="restart"/>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20" w:type="dxa"/>
            <w:vMerge w:val="restart"/>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20" w:type="dxa"/>
            <w:vMerge w:val="restart"/>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20" w:type="dxa"/>
            <w:vMerge w:val="restart"/>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20" w:type="dxa"/>
            <w:vMerge w:val="restart"/>
            <w:shd w:val="clear" w:color="auto" w:fill="auto"/>
            <w:vAlign w:val="bottom"/>
          </w:tcPr>
          <w:p w:rsidR="00760D48" w:rsidRDefault="00760D48" w:rsidP="00AB18F6">
            <w:pPr>
              <w:spacing w:line="0" w:lineRule="atLeast"/>
              <w:rPr>
                <w:rFonts w:ascii="Times New Roman" w:eastAsia="Times New Roman" w:hAnsi="Times New Roman"/>
                <w:sz w:val="9"/>
              </w:rPr>
            </w:pPr>
          </w:p>
        </w:tc>
        <w:tc>
          <w:tcPr>
            <w:tcW w:w="1600" w:type="dxa"/>
            <w:gridSpan w:val="7"/>
            <w:vMerge w:val="restart"/>
            <w:shd w:val="clear" w:color="auto" w:fill="auto"/>
            <w:vAlign w:val="bottom"/>
          </w:tcPr>
          <w:p w:rsidR="00760D48" w:rsidRDefault="00760D48" w:rsidP="00AB18F6">
            <w:pPr>
              <w:spacing w:line="0" w:lineRule="atLeast"/>
              <w:ind w:left="40"/>
              <w:rPr>
                <w:rFonts w:ascii="Arial" w:eastAsia="Arial" w:hAnsi="Arial"/>
                <w:sz w:val="14"/>
              </w:rPr>
            </w:pPr>
            <w:r>
              <w:rPr>
                <w:rFonts w:ascii="Arial" w:eastAsia="Arial" w:hAnsi="Arial"/>
                <w:sz w:val="14"/>
              </w:rPr>
              <w:t>or above</w:t>
            </w:r>
          </w:p>
        </w:tc>
      </w:tr>
      <w:tr w:rsidR="00760D48" w:rsidTr="00AB18F6">
        <w:trPr>
          <w:trHeight w:val="20"/>
        </w:trPr>
        <w:tc>
          <w:tcPr>
            <w:tcW w:w="20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40" w:type="dxa"/>
            <w:vMerge/>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6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46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tcBorders>
              <w:right w:val="single" w:sz="8" w:space="0" w:color="2E3092"/>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4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0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0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80" w:type="dxa"/>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vMerge w:val="restart"/>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60" w:type="dxa"/>
            <w:vMerge w:val="restart"/>
            <w:tcBorders>
              <w:right w:val="single" w:sz="8" w:space="0" w:color="00A651"/>
            </w:tcBorders>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40" w:type="dxa"/>
            <w:vMerge/>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vMerge/>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0" w:type="dxa"/>
            <w:vMerge/>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20" w:type="dxa"/>
            <w:vMerge/>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20" w:type="dxa"/>
            <w:vMerge/>
            <w:shd w:val="clear" w:color="auto" w:fill="auto"/>
            <w:vAlign w:val="bottom"/>
          </w:tcPr>
          <w:p w:rsidR="00760D48" w:rsidRDefault="00760D48" w:rsidP="00AB18F6">
            <w:pPr>
              <w:spacing w:line="20" w:lineRule="exact"/>
              <w:rPr>
                <w:rFonts w:ascii="Times New Roman" w:eastAsia="Times New Roman" w:hAnsi="Times New Roman"/>
                <w:sz w:val="1"/>
              </w:rPr>
            </w:pPr>
          </w:p>
        </w:tc>
        <w:tc>
          <w:tcPr>
            <w:tcW w:w="1600" w:type="dxa"/>
            <w:gridSpan w:val="7"/>
            <w:vMerge/>
            <w:shd w:val="clear" w:color="auto" w:fill="auto"/>
            <w:vAlign w:val="bottom"/>
          </w:tcPr>
          <w:p w:rsidR="00760D48" w:rsidRDefault="00760D48" w:rsidP="00AB18F6">
            <w:pPr>
              <w:spacing w:line="20" w:lineRule="exact"/>
              <w:rPr>
                <w:rFonts w:ascii="Times New Roman" w:eastAsia="Times New Roman" w:hAnsi="Times New Roman"/>
                <w:sz w:val="1"/>
              </w:rPr>
            </w:pPr>
          </w:p>
        </w:tc>
      </w:tr>
      <w:tr w:rsidR="00760D48" w:rsidTr="00AB18F6">
        <w:trPr>
          <w:trHeight w:val="33"/>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vMerge/>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60" w:type="dxa"/>
            <w:vMerge/>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40" w:type="dxa"/>
            <w:vMerge/>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vMerge/>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20" w:type="dxa"/>
            <w:vMerge/>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vMerge/>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20" w:type="dxa"/>
            <w:vMerge/>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600" w:type="dxa"/>
            <w:gridSpan w:val="7"/>
            <w:vMerge/>
            <w:shd w:val="clear" w:color="auto" w:fill="auto"/>
            <w:vAlign w:val="bottom"/>
          </w:tcPr>
          <w:p w:rsidR="00760D48" w:rsidRDefault="00760D48" w:rsidP="00AB18F6">
            <w:pPr>
              <w:spacing w:line="0" w:lineRule="atLeast"/>
              <w:rPr>
                <w:rFonts w:ascii="Times New Roman" w:eastAsia="Times New Roman" w:hAnsi="Times New Roman"/>
                <w:sz w:val="2"/>
              </w:rPr>
            </w:pPr>
          </w:p>
        </w:tc>
      </w:tr>
      <w:tr w:rsidR="00760D48" w:rsidTr="00AB18F6">
        <w:trPr>
          <w:trHeight w:val="124"/>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2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6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10"/>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10"/>
              </w:rPr>
            </w:pPr>
          </w:p>
        </w:tc>
      </w:tr>
      <w:tr w:rsidR="00760D48" w:rsidTr="00AB18F6">
        <w:trPr>
          <w:trHeight w:val="72"/>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6"/>
              </w:rPr>
            </w:pPr>
          </w:p>
        </w:tc>
      </w:tr>
      <w:tr w:rsidR="00760D48" w:rsidTr="00AB18F6">
        <w:trPr>
          <w:trHeight w:val="167"/>
        </w:trPr>
        <w:tc>
          <w:tcPr>
            <w:tcW w:w="200" w:type="dxa"/>
            <w:vMerge w:val="restart"/>
            <w:shd w:val="clear" w:color="auto" w:fill="auto"/>
            <w:textDirection w:val="btLr"/>
            <w:vAlign w:val="bottom"/>
          </w:tcPr>
          <w:p w:rsidR="00760D48" w:rsidRDefault="00760D48" w:rsidP="00AB18F6">
            <w:pPr>
              <w:spacing w:line="0" w:lineRule="atLeast"/>
              <w:ind w:left="16"/>
              <w:rPr>
                <w:rFonts w:ascii="Arial" w:eastAsia="Arial" w:hAnsi="Arial"/>
                <w:w w:val="86"/>
                <w:sz w:val="16"/>
              </w:rPr>
            </w:pPr>
            <w:r>
              <w:rPr>
                <w:rFonts w:ascii="Arial" w:eastAsia="Arial" w:hAnsi="Arial"/>
                <w:w w:val="86"/>
                <w:sz w:val="16"/>
              </w:rPr>
              <w:t>Cum survival</w:t>
            </w:r>
          </w:p>
        </w:tc>
        <w:tc>
          <w:tcPr>
            <w:tcW w:w="240" w:type="dxa"/>
            <w:vMerge w:val="restart"/>
            <w:shd w:val="clear" w:color="auto" w:fill="auto"/>
            <w:vAlign w:val="bottom"/>
          </w:tcPr>
          <w:p w:rsidR="00760D48" w:rsidRDefault="00760D48" w:rsidP="00AB18F6">
            <w:pPr>
              <w:spacing w:line="0" w:lineRule="atLeast"/>
              <w:jc w:val="right"/>
              <w:rPr>
                <w:rFonts w:ascii="Arial" w:eastAsia="Arial" w:hAnsi="Arial"/>
                <w:w w:val="89"/>
                <w:sz w:val="16"/>
              </w:rPr>
            </w:pPr>
            <w:r>
              <w:rPr>
                <w:rFonts w:ascii="Arial" w:eastAsia="Arial" w:hAnsi="Arial"/>
                <w:w w:val="89"/>
                <w:sz w:val="16"/>
              </w:rPr>
              <w:t>0.6</w:t>
            </w: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12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8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6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14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1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1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2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54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14"/>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14"/>
              </w:rPr>
            </w:pPr>
          </w:p>
        </w:tc>
      </w:tr>
      <w:tr w:rsidR="00760D48" w:rsidTr="00AB18F6">
        <w:trPr>
          <w:trHeight w:val="224"/>
        </w:trPr>
        <w:tc>
          <w:tcPr>
            <w:tcW w:w="200" w:type="dxa"/>
            <w:vMerge/>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54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128"/>
        </w:trPr>
        <w:tc>
          <w:tcPr>
            <w:tcW w:w="200" w:type="dxa"/>
            <w:vMerge/>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12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54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11"/>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11"/>
              </w:rPr>
            </w:pPr>
          </w:p>
        </w:tc>
      </w:tr>
      <w:tr w:rsidR="00760D48" w:rsidTr="00AB18F6">
        <w:trPr>
          <w:trHeight w:val="74"/>
        </w:trPr>
        <w:tc>
          <w:tcPr>
            <w:tcW w:w="200" w:type="dxa"/>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54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6"/>
              </w:rPr>
            </w:pPr>
          </w:p>
        </w:tc>
      </w:tr>
      <w:tr w:rsidR="00760D48" w:rsidTr="00AB18F6">
        <w:trPr>
          <w:trHeight w:val="222"/>
        </w:trPr>
        <w:tc>
          <w:tcPr>
            <w:tcW w:w="200" w:type="dxa"/>
            <w:vMerge/>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40" w:type="dxa"/>
            <w:vMerge w:val="restart"/>
            <w:shd w:val="clear" w:color="auto" w:fill="auto"/>
            <w:vAlign w:val="bottom"/>
          </w:tcPr>
          <w:p w:rsidR="00760D48" w:rsidRDefault="00760D48" w:rsidP="00AB18F6">
            <w:pPr>
              <w:spacing w:line="0" w:lineRule="atLeast"/>
              <w:jc w:val="right"/>
              <w:rPr>
                <w:rFonts w:ascii="Arial" w:eastAsia="Arial" w:hAnsi="Arial"/>
                <w:w w:val="89"/>
                <w:sz w:val="16"/>
              </w:rPr>
            </w:pPr>
            <w:r>
              <w:rPr>
                <w:rFonts w:ascii="Arial" w:eastAsia="Arial" w:hAnsi="Arial"/>
                <w:w w:val="89"/>
                <w:sz w:val="16"/>
              </w:rPr>
              <w:t>0.4</w:t>
            </w: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219"/>
        </w:trPr>
        <w:tc>
          <w:tcPr>
            <w:tcW w:w="200" w:type="dxa"/>
            <w:vMerge/>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82"/>
        </w:trPr>
        <w:tc>
          <w:tcPr>
            <w:tcW w:w="200" w:type="dxa"/>
            <w:vMerge/>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6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7"/>
              </w:rPr>
            </w:pPr>
          </w:p>
        </w:tc>
      </w:tr>
      <w:tr w:rsidR="00760D48" w:rsidTr="00AB18F6">
        <w:trPr>
          <w:trHeight w:val="87"/>
        </w:trPr>
        <w:tc>
          <w:tcPr>
            <w:tcW w:w="200" w:type="dxa"/>
            <w:vMerge/>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6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7"/>
              </w:rPr>
            </w:pPr>
          </w:p>
        </w:tc>
      </w:tr>
      <w:tr w:rsidR="00760D48" w:rsidTr="00AB18F6">
        <w:trPr>
          <w:trHeight w:val="27"/>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240" w:type="dxa"/>
            <w:vMerge w:val="restart"/>
            <w:shd w:val="clear" w:color="auto" w:fill="auto"/>
            <w:vAlign w:val="bottom"/>
          </w:tcPr>
          <w:p w:rsidR="00760D48" w:rsidRDefault="00760D48" w:rsidP="00AB18F6">
            <w:pPr>
              <w:spacing w:line="0" w:lineRule="atLeast"/>
              <w:jc w:val="right"/>
              <w:rPr>
                <w:rFonts w:ascii="Arial" w:eastAsia="Arial" w:hAnsi="Arial"/>
                <w:w w:val="89"/>
                <w:sz w:val="16"/>
              </w:rPr>
            </w:pPr>
            <w:r>
              <w:rPr>
                <w:rFonts w:ascii="Arial" w:eastAsia="Arial" w:hAnsi="Arial"/>
                <w:w w:val="89"/>
                <w:sz w:val="16"/>
              </w:rPr>
              <w:t>0.2</w:t>
            </w: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8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0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6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2"/>
              </w:rPr>
            </w:pPr>
          </w:p>
        </w:tc>
      </w:tr>
      <w:tr w:rsidR="00760D48" w:rsidTr="00AB18F6">
        <w:trPr>
          <w:trHeight w:val="219"/>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277"/>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8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8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4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24"/>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24"/>
              </w:rPr>
            </w:pPr>
          </w:p>
        </w:tc>
      </w:tr>
      <w:tr w:rsidR="00760D48" w:rsidTr="00AB18F6">
        <w:trPr>
          <w:trHeight w:val="90"/>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40" w:type="dxa"/>
            <w:vMerge/>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8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4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7"/>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7"/>
              </w:rPr>
            </w:pPr>
          </w:p>
        </w:tc>
      </w:tr>
      <w:tr w:rsidR="00760D48" w:rsidTr="00AB18F6">
        <w:trPr>
          <w:trHeight w:val="69"/>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8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2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54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40" w:type="dxa"/>
            <w:tcBorders>
              <w:right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140" w:type="dxa"/>
            <w:tcBorders>
              <w:bottom w:val="single" w:sz="8" w:space="0" w:color="00A651"/>
            </w:tcBorders>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200" w:type="dxa"/>
            <w:shd w:val="clear" w:color="auto" w:fill="auto"/>
            <w:vAlign w:val="bottom"/>
          </w:tcPr>
          <w:p w:rsidR="00760D48" w:rsidRDefault="00760D48" w:rsidP="00AB18F6">
            <w:pPr>
              <w:spacing w:line="0" w:lineRule="atLeast"/>
              <w:rPr>
                <w:rFonts w:ascii="Times New Roman" w:eastAsia="Times New Roman" w:hAnsi="Times New Roman"/>
                <w:sz w:val="6"/>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6"/>
              </w:rPr>
            </w:pPr>
          </w:p>
        </w:tc>
      </w:tr>
      <w:tr w:rsidR="00760D48" w:rsidTr="00AB18F6">
        <w:trPr>
          <w:trHeight w:val="227"/>
        </w:trPr>
        <w:tc>
          <w:tcPr>
            <w:tcW w:w="2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0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8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4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 w:type="dxa"/>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540" w:type="dxa"/>
            <w:tcBorders>
              <w:right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6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4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14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200" w:type="dxa"/>
            <w:tcBorders>
              <w:bottom w:val="single" w:sz="8" w:space="0" w:color="2E3092"/>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580" w:type="dxa"/>
            <w:shd w:val="clear" w:color="auto" w:fill="auto"/>
            <w:vAlign w:val="bottom"/>
          </w:tcPr>
          <w:p w:rsidR="00760D48" w:rsidRDefault="00760D48" w:rsidP="00AB18F6">
            <w:pPr>
              <w:spacing w:line="0" w:lineRule="atLeast"/>
              <w:rPr>
                <w:rFonts w:ascii="Times New Roman" w:eastAsia="Times New Roman" w:hAnsi="Times New Roman"/>
                <w:sz w:val="19"/>
              </w:rPr>
            </w:pPr>
          </w:p>
        </w:tc>
      </w:tr>
    </w:tbl>
    <w:p w:rsidR="00760D48" w:rsidRDefault="00760D48" w:rsidP="00760D48">
      <w:pPr>
        <w:spacing w:line="20" w:lineRule="exact"/>
        <w:rPr>
          <w:rFonts w:ascii="Times New Roman" w:eastAsia="Times New Roman" w:hAnsi="Times New Roman"/>
        </w:rPr>
      </w:pPr>
      <w:r>
        <w:rPr>
          <w:rFonts w:ascii="Times New Roman" w:eastAsia="Times New Roman" w:hAnsi="Times New Roman"/>
          <w:noProof/>
          <w:sz w:val="19"/>
          <w:lang w:bidi="ar-SA"/>
        </w:rPr>
        <w:drawing>
          <wp:anchor distT="0" distB="0" distL="114300" distR="114300" simplePos="0" relativeHeight="251727872" behindDoc="1" locked="0" layoutInCell="1" allowOverlap="1">
            <wp:simplePos x="0" y="0"/>
            <wp:positionH relativeFrom="column">
              <wp:posOffset>15240</wp:posOffset>
            </wp:positionH>
            <wp:positionV relativeFrom="paragraph">
              <wp:posOffset>-2324100</wp:posOffset>
            </wp:positionV>
            <wp:extent cx="2828925" cy="2959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28925" cy="295910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112" w:lineRule="exact"/>
        <w:rPr>
          <w:rFonts w:ascii="Times New Roman" w:eastAsia="Times New Roman" w:hAnsi="Times New Roman"/>
        </w:rPr>
      </w:pPr>
    </w:p>
    <w:p w:rsidR="00760D48" w:rsidRDefault="00760D48" w:rsidP="00760D48">
      <w:pPr>
        <w:spacing w:line="0" w:lineRule="atLeast"/>
        <w:ind w:left="300"/>
        <w:rPr>
          <w:rFonts w:ascii="Arial" w:eastAsia="Arial" w:hAnsi="Arial"/>
          <w:sz w:val="16"/>
        </w:rPr>
      </w:pPr>
      <w:r>
        <w:rPr>
          <w:rFonts w:ascii="Arial" w:eastAsia="Arial" w:hAnsi="Arial"/>
          <w:sz w:val="16"/>
        </w:rPr>
        <w:t>0.0</w:t>
      </w:r>
    </w:p>
    <w:p w:rsidR="00760D48" w:rsidRDefault="00760D48" w:rsidP="00760D48">
      <w:pPr>
        <w:spacing w:line="192" w:lineRule="exact"/>
        <w:rPr>
          <w:rFonts w:ascii="Times New Roman" w:eastAsia="Times New Roman" w:hAnsi="Times New Roman"/>
        </w:rPr>
      </w:pPr>
    </w:p>
    <w:tbl>
      <w:tblPr>
        <w:tblW w:w="0" w:type="auto"/>
        <w:tblInd w:w="760" w:type="dxa"/>
        <w:tblLayout w:type="fixed"/>
        <w:tblCellMar>
          <w:left w:w="0" w:type="dxa"/>
          <w:right w:w="0" w:type="dxa"/>
        </w:tblCellMar>
        <w:tblLook w:val="0000" w:firstRow="0" w:lastRow="0" w:firstColumn="0" w:lastColumn="0" w:noHBand="0" w:noVBand="0"/>
      </w:tblPr>
      <w:tblGrid>
        <w:gridCol w:w="440"/>
        <w:gridCol w:w="800"/>
        <w:gridCol w:w="900"/>
        <w:gridCol w:w="840"/>
        <w:gridCol w:w="540"/>
      </w:tblGrid>
      <w:tr w:rsidR="00760D48" w:rsidTr="00AB18F6">
        <w:trPr>
          <w:trHeight w:val="197"/>
        </w:trPr>
        <w:tc>
          <w:tcPr>
            <w:tcW w:w="440" w:type="dxa"/>
            <w:shd w:val="clear" w:color="auto" w:fill="auto"/>
            <w:vAlign w:val="bottom"/>
          </w:tcPr>
          <w:p w:rsidR="00760D48" w:rsidRDefault="00760D48" w:rsidP="00AB18F6">
            <w:pPr>
              <w:spacing w:line="0" w:lineRule="atLeast"/>
              <w:ind w:right="285"/>
              <w:jc w:val="right"/>
              <w:rPr>
                <w:rFonts w:ascii="Arial" w:eastAsia="Arial" w:hAnsi="Arial"/>
                <w:w w:val="71"/>
                <w:sz w:val="15"/>
              </w:rPr>
            </w:pPr>
            <w:r>
              <w:rPr>
                <w:rFonts w:ascii="Arial" w:eastAsia="Arial" w:hAnsi="Arial"/>
                <w:w w:val="71"/>
                <w:sz w:val="15"/>
              </w:rPr>
              <w:t>0</w:t>
            </w:r>
          </w:p>
        </w:tc>
        <w:tc>
          <w:tcPr>
            <w:tcW w:w="800" w:type="dxa"/>
            <w:shd w:val="clear" w:color="auto" w:fill="auto"/>
            <w:vAlign w:val="bottom"/>
          </w:tcPr>
          <w:p w:rsidR="00760D48" w:rsidRDefault="00760D48" w:rsidP="00AB18F6">
            <w:pPr>
              <w:spacing w:line="0" w:lineRule="atLeast"/>
              <w:ind w:right="200"/>
              <w:jc w:val="right"/>
              <w:rPr>
                <w:rFonts w:ascii="Arial" w:eastAsia="Arial" w:hAnsi="Arial"/>
                <w:sz w:val="16"/>
              </w:rPr>
            </w:pPr>
            <w:r>
              <w:rPr>
                <w:rFonts w:ascii="Arial" w:eastAsia="Arial" w:hAnsi="Arial"/>
                <w:sz w:val="16"/>
              </w:rPr>
              <w:t>50</w:t>
            </w:r>
          </w:p>
        </w:tc>
        <w:tc>
          <w:tcPr>
            <w:tcW w:w="900" w:type="dxa"/>
            <w:shd w:val="clear" w:color="auto" w:fill="auto"/>
            <w:vAlign w:val="bottom"/>
          </w:tcPr>
          <w:p w:rsidR="00760D48" w:rsidRDefault="00760D48" w:rsidP="00AB18F6">
            <w:pPr>
              <w:spacing w:line="0" w:lineRule="atLeast"/>
              <w:ind w:right="240"/>
              <w:jc w:val="right"/>
              <w:rPr>
                <w:rFonts w:ascii="Arial" w:eastAsia="Arial" w:hAnsi="Arial"/>
                <w:sz w:val="16"/>
              </w:rPr>
            </w:pPr>
            <w:r>
              <w:rPr>
                <w:rFonts w:ascii="Arial" w:eastAsia="Arial" w:hAnsi="Arial"/>
                <w:sz w:val="16"/>
              </w:rPr>
              <w:t>100</w:t>
            </w:r>
          </w:p>
        </w:tc>
        <w:tc>
          <w:tcPr>
            <w:tcW w:w="840" w:type="dxa"/>
            <w:shd w:val="clear" w:color="auto" w:fill="auto"/>
            <w:vAlign w:val="bottom"/>
          </w:tcPr>
          <w:p w:rsidR="00760D48" w:rsidRDefault="00760D48" w:rsidP="00AB18F6">
            <w:pPr>
              <w:spacing w:line="0" w:lineRule="atLeast"/>
              <w:ind w:right="220"/>
              <w:jc w:val="right"/>
              <w:rPr>
                <w:rFonts w:ascii="Arial" w:eastAsia="Arial" w:hAnsi="Arial"/>
                <w:sz w:val="16"/>
              </w:rPr>
            </w:pPr>
            <w:r>
              <w:rPr>
                <w:rFonts w:ascii="Arial" w:eastAsia="Arial" w:hAnsi="Arial"/>
                <w:sz w:val="16"/>
              </w:rPr>
              <w:t>150</w:t>
            </w:r>
          </w:p>
        </w:tc>
        <w:tc>
          <w:tcPr>
            <w:tcW w:w="540" w:type="dxa"/>
            <w:shd w:val="clear" w:color="auto" w:fill="auto"/>
            <w:vAlign w:val="bottom"/>
          </w:tcPr>
          <w:p w:rsidR="00760D48" w:rsidRDefault="00760D48" w:rsidP="00AB18F6">
            <w:pPr>
              <w:spacing w:line="0" w:lineRule="atLeast"/>
              <w:jc w:val="right"/>
              <w:rPr>
                <w:rFonts w:ascii="Arial" w:eastAsia="Arial" w:hAnsi="Arial"/>
                <w:sz w:val="16"/>
              </w:rPr>
            </w:pPr>
            <w:r>
              <w:rPr>
                <w:rFonts w:ascii="Arial" w:eastAsia="Arial" w:hAnsi="Arial"/>
                <w:sz w:val="16"/>
              </w:rPr>
              <w:t>200</w:t>
            </w:r>
          </w:p>
        </w:tc>
      </w:tr>
      <w:tr w:rsidR="00760D48" w:rsidTr="00AB18F6">
        <w:trPr>
          <w:trHeight w:val="207"/>
        </w:trPr>
        <w:tc>
          <w:tcPr>
            <w:tcW w:w="44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80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900" w:type="dxa"/>
            <w:shd w:val="clear" w:color="auto" w:fill="auto"/>
            <w:vAlign w:val="bottom"/>
          </w:tcPr>
          <w:p w:rsidR="00760D48" w:rsidRDefault="00760D48" w:rsidP="00AB18F6">
            <w:pPr>
              <w:spacing w:line="0" w:lineRule="atLeast"/>
              <w:ind w:right="240"/>
              <w:jc w:val="right"/>
              <w:rPr>
                <w:rFonts w:ascii="Arial" w:eastAsia="Arial" w:hAnsi="Arial"/>
                <w:sz w:val="16"/>
              </w:rPr>
            </w:pPr>
            <w:r>
              <w:rPr>
                <w:rFonts w:ascii="Arial" w:eastAsia="Arial" w:hAnsi="Arial"/>
                <w:sz w:val="16"/>
              </w:rPr>
              <w:t>Time</w:t>
            </w:r>
          </w:p>
        </w:tc>
        <w:tc>
          <w:tcPr>
            <w:tcW w:w="840" w:type="dxa"/>
            <w:shd w:val="clear" w:color="auto" w:fill="auto"/>
            <w:vAlign w:val="bottom"/>
          </w:tcPr>
          <w:p w:rsidR="00760D48" w:rsidRDefault="00760D48" w:rsidP="00AB18F6">
            <w:pPr>
              <w:spacing w:line="0" w:lineRule="atLeast"/>
              <w:rPr>
                <w:rFonts w:ascii="Times New Roman" w:eastAsia="Times New Roman" w:hAnsi="Times New Roman"/>
                <w:sz w:val="18"/>
              </w:rPr>
            </w:pPr>
          </w:p>
        </w:tc>
        <w:tc>
          <w:tcPr>
            <w:tcW w:w="540" w:type="dxa"/>
            <w:shd w:val="clear" w:color="auto" w:fill="auto"/>
            <w:vAlign w:val="bottom"/>
          </w:tcPr>
          <w:p w:rsidR="00760D48" w:rsidRDefault="00760D48" w:rsidP="00AB18F6">
            <w:pPr>
              <w:spacing w:line="0" w:lineRule="atLeast"/>
              <w:rPr>
                <w:rFonts w:ascii="Times New Roman" w:eastAsia="Times New Roman" w:hAnsi="Times New Roman"/>
                <w:sz w:val="18"/>
              </w:rPr>
            </w:pPr>
          </w:p>
        </w:tc>
      </w:tr>
    </w:tbl>
    <w:p w:rsidR="00760D48" w:rsidRDefault="00760D48" w:rsidP="00760D48">
      <w:pPr>
        <w:spacing w:line="297" w:lineRule="exact"/>
        <w:rPr>
          <w:rFonts w:ascii="Times New Roman" w:eastAsia="Times New Roman" w:hAnsi="Times New Roman"/>
        </w:rPr>
      </w:pPr>
    </w:p>
    <w:p w:rsidR="00760D48" w:rsidRDefault="00760D48" w:rsidP="00760D48">
      <w:pPr>
        <w:spacing w:line="260" w:lineRule="auto"/>
        <w:ind w:left="20"/>
        <w:jc w:val="both"/>
        <w:rPr>
          <w:rFonts w:ascii="Arial" w:eastAsia="Arial" w:hAnsi="Arial"/>
          <w:sz w:val="18"/>
        </w:rPr>
      </w:pPr>
      <w:r>
        <w:rPr>
          <w:rFonts w:ascii="Arial" w:eastAsia="Arial" w:hAnsi="Arial"/>
          <w:b/>
          <w:sz w:val="18"/>
        </w:rPr>
        <w:t xml:space="preserve">Figure 2. </w:t>
      </w:r>
      <w:r>
        <w:rPr>
          <w:rFonts w:ascii="Arial" w:eastAsia="Arial" w:hAnsi="Arial"/>
          <w:sz w:val="18"/>
        </w:rPr>
        <w:t>Kaplan Meier analysis based on median serum po-tassium level. A significant difference between low and high potassium for adverse outcomes (p &lt; 0.05). Time in number of days</w:t>
      </w: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357" w:lineRule="exact"/>
        <w:rPr>
          <w:rFonts w:ascii="Times New Roman" w:eastAsia="Times New Roman" w:hAnsi="Times New Roman"/>
        </w:rPr>
      </w:pPr>
    </w:p>
    <w:p w:rsidR="00760D48" w:rsidRDefault="00760D48" w:rsidP="00760D48">
      <w:pPr>
        <w:spacing w:line="260" w:lineRule="auto"/>
        <w:ind w:left="20"/>
        <w:jc w:val="both"/>
        <w:rPr>
          <w:rFonts w:ascii="Arial" w:eastAsia="Arial" w:hAnsi="Arial"/>
        </w:rPr>
      </w:pPr>
      <w:r>
        <w:rPr>
          <w:rFonts w:ascii="Arial" w:eastAsia="Arial" w:hAnsi="Arial"/>
        </w:rPr>
        <w:t>for cardiovascular events including stroke and coro-nary vessels related events. Moreover, animal studies have shown that high potassium diets normalize blood pressure and provide protection against atherosclerosis in arteries [22].</w:t>
      </w:r>
    </w:p>
    <w:p w:rsidR="00760D48" w:rsidRDefault="00760D48" w:rsidP="00760D48">
      <w:pPr>
        <w:spacing w:line="4" w:lineRule="exact"/>
        <w:rPr>
          <w:rFonts w:ascii="Times New Roman" w:eastAsia="Times New Roman" w:hAnsi="Times New Roman"/>
        </w:rPr>
      </w:pPr>
    </w:p>
    <w:p w:rsidR="00760D48" w:rsidRDefault="00760D48" w:rsidP="00760D48">
      <w:pPr>
        <w:spacing w:line="274" w:lineRule="auto"/>
        <w:ind w:left="20" w:firstLine="283"/>
        <w:jc w:val="both"/>
        <w:rPr>
          <w:rFonts w:ascii="Arial" w:eastAsia="Arial" w:hAnsi="Arial"/>
          <w:sz w:val="19"/>
        </w:rPr>
      </w:pPr>
      <w:r>
        <w:rPr>
          <w:rFonts w:ascii="Arial" w:eastAsia="Arial" w:hAnsi="Arial"/>
          <w:sz w:val="19"/>
        </w:rPr>
        <w:t>Increased potassium content in diets plays a role reduction of vascular lesions owing to decreased en-dothelial injuries and less adherence and infiltration of macrophages into the vascular wall [11].</w:t>
      </w:r>
    </w:p>
    <w:p w:rsidR="00760D48" w:rsidRDefault="00760D48" w:rsidP="00760D48">
      <w:pPr>
        <w:spacing w:line="2" w:lineRule="exact"/>
        <w:rPr>
          <w:rFonts w:ascii="Times New Roman" w:eastAsia="Times New Roman" w:hAnsi="Times New Roman"/>
        </w:rPr>
      </w:pPr>
    </w:p>
    <w:p w:rsidR="00760D48" w:rsidRDefault="00760D48" w:rsidP="00760D48">
      <w:pPr>
        <w:spacing w:line="334" w:lineRule="auto"/>
        <w:ind w:left="20" w:firstLine="283"/>
        <w:jc w:val="both"/>
        <w:rPr>
          <w:rFonts w:ascii="Arial" w:eastAsia="Arial" w:hAnsi="Arial"/>
          <w:sz w:val="18"/>
        </w:rPr>
      </w:pPr>
      <w:r>
        <w:rPr>
          <w:rFonts w:ascii="Arial" w:eastAsia="Arial" w:hAnsi="Arial"/>
          <w:sz w:val="18"/>
        </w:rPr>
        <w:t>Other mechanisms explaining the role of increased potassium levels in the maintenance of normal blood</w:t>
      </w:r>
    </w:p>
    <w:p w:rsidR="00760D48" w:rsidRDefault="00760D48" w:rsidP="00760D48">
      <w:pPr>
        <w:spacing w:line="200" w:lineRule="exact"/>
        <w:rPr>
          <w:rFonts w:ascii="Times New Roman" w:eastAsia="Times New Roman" w:hAnsi="Times New Roman"/>
        </w:rPr>
      </w:pPr>
      <w:r>
        <w:rPr>
          <w:rFonts w:ascii="Arial" w:eastAsia="Arial" w:hAnsi="Arial"/>
          <w:sz w:val="18"/>
        </w:rPr>
        <w:br w:type="column"/>
      </w:r>
    </w:p>
    <w:p w:rsidR="00760D48" w:rsidRDefault="00760D48" w:rsidP="00760D48">
      <w:pPr>
        <w:spacing w:line="286" w:lineRule="exact"/>
        <w:rPr>
          <w:rFonts w:ascii="Times New Roman" w:eastAsia="Times New Roman" w:hAnsi="Times New Roman"/>
        </w:rPr>
      </w:pPr>
    </w:p>
    <w:p w:rsidR="00760D48" w:rsidRDefault="00760D48" w:rsidP="00760D48">
      <w:pPr>
        <w:spacing w:line="0" w:lineRule="atLeast"/>
        <w:rPr>
          <w:rFonts w:ascii="Arial" w:eastAsia="Arial" w:hAnsi="Arial"/>
          <w:sz w:val="18"/>
        </w:rPr>
      </w:pPr>
      <w:r>
        <w:rPr>
          <w:rFonts w:ascii="Arial" w:eastAsia="Arial" w:hAnsi="Arial"/>
          <w:b/>
          <w:sz w:val="18"/>
        </w:rPr>
        <w:t xml:space="preserve">Table 3. </w:t>
      </w:r>
      <w:r>
        <w:rPr>
          <w:rFonts w:ascii="Arial" w:eastAsia="Arial" w:hAnsi="Arial"/>
          <w:sz w:val="18"/>
        </w:rPr>
        <w:t>Univariate analysis for MACE</w:t>
      </w:r>
    </w:p>
    <w:p w:rsidR="00760D48" w:rsidRDefault="00760D48" w:rsidP="00760D48">
      <w:pPr>
        <w:spacing w:line="20" w:lineRule="exact"/>
        <w:rPr>
          <w:rFonts w:ascii="Times New Roman" w:eastAsia="Times New Roman" w:hAnsi="Times New Roman"/>
        </w:rPr>
      </w:pPr>
      <w:r>
        <w:rPr>
          <w:rFonts w:ascii="Arial" w:eastAsia="Arial" w:hAnsi="Arial"/>
          <w:noProof/>
          <w:sz w:val="18"/>
          <w:lang w:bidi="ar-SA"/>
        </w:rPr>
        <w:drawing>
          <wp:anchor distT="0" distB="0" distL="114300" distR="114300" simplePos="0" relativeHeight="251728896" behindDoc="1" locked="0" layoutInCell="1" allowOverlap="1">
            <wp:simplePos x="0" y="0"/>
            <wp:positionH relativeFrom="column">
              <wp:posOffset>-8890</wp:posOffset>
            </wp:positionH>
            <wp:positionV relativeFrom="paragraph">
              <wp:posOffset>86360</wp:posOffset>
            </wp:positionV>
            <wp:extent cx="2855595" cy="3765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5595" cy="376555"/>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12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040"/>
        <w:gridCol w:w="1660"/>
        <w:gridCol w:w="760"/>
      </w:tblGrid>
      <w:tr w:rsidR="00760D48" w:rsidTr="00AB18F6">
        <w:trPr>
          <w:trHeight w:val="242"/>
        </w:trPr>
        <w:tc>
          <w:tcPr>
            <w:tcW w:w="2040" w:type="dxa"/>
            <w:tcBorders>
              <w:top w:val="single" w:sz="8" w:space="0" w:color="78537B"/>
              <w:left w:val="single" w:sz="8" w:space="0" w:color="78537B"/>
              <w:right w:val="single" w:sz="8" w:space="0" w:color="78537B"/>
            </w:tcBorders>
            <w:shd w:val="clear" w:color="auto" w:fill="auto"/>
            <w:vAlign w:val="bottom"/>
          </w:tcPr>
          <w:p w:rsidR="00760D48" w:rsidRDefault="00760D48" w:rsidP="00AB18F6">
            <w:pPr>
              <w:spacing w:line="0" w:lineRule="atLeast"/>
              <w:rPr>
                <w:rFonts w:ascii="Times New Roman" w:eastAsia="Times New Roman" w:hAnsi="Times New Roman"/>
                <w:sz w:val="21"/>
              </w:rPr>
            </w:pPr>
          </w:p>
        </w:tc>
        <w:tc>
          <w:tcPr>
            <w:tcW w:w="2420" w:type="dxa"/>
            <w:gridSpan w:val="2"/>
            <w:tcBorders>
              <w:top w:val="single" w:sz="8" w:space="0" w:color="78537B"/>
              <w:right w:val="single" w:sz="8" w:space="0" w:color="78537B"/>
            </w:tcBorders>
            <w:shd w:val="clear" w:color="auto" w:fill="auto"/>
            <w:vAlign w:val="bottom"/>
          </w:tcPr>
          <w:p w:rsidR="00760D48" w:rsidRDefault="00760D48" w:rsidP="00AB18F6">
            <w:pPr>
              <w:spacing w:line="0" w:lineRule="atLeast"/>
              <w:ind w:left="520"/>
              <w:rPr>
                <w:rFonts w:ascii="Arial" w:eastAsia="Arial" w:hAnsi="Arial"/>
                <w:b/>
                <w:color w:val="FFFFFF"/>
                <w:sz w:val="16"/>
              </w:rPr>
            </w:pPr>
            <w:r>
              <w:rPr>
                <w:rFonts w:ascii="Arial" w:eastAsia="Arial" w:hAnsi="Arial"/>
                <w:b/>
                <w:color w:val="FFFFFF"/>
                <w:sz w:val="16"/>
              </w:rPr>
              <w:t>Univariate analysis</w:t>
            </w:r>
          </w:p>
        </w:tc>
      </w:tr>
      <w:tr w:rsidR="00760D48" w:rsidTr="00AB18F6">
        <w:trPr>
          <w:trHeight w:val="26"/>
        </w:trPr>
        <w:tc>
          <w:tcPr>
            <w:tcW w:w="2040" w:type="dxa"/>
            <w:tcBorders>
              <w:left w:val="single" w:sz="8" w:space="0" w:color="78537B"/>
              <w:bottom w:val="single" w:sz="8" w:space="0" w:color="78537B"/>
              <w:right w:val="single" w:sz="8" w:space="0" w:color="78537B"/>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660" w:type="dxa"/>
            <w:tcBorders>
              <w:bottom w:val="single" w:sz="8" w:space="0" w:color="78537B"/>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760" w:type="dxa"/>
            <w:tcBorders>
              <w:bottom w:val="single" w:sz="8" w:space="0" w:color="78537B"/>
              <w:right w:val="single" w:sz="8" w:space="0" w:color="78537B"/>
            </w:tcBorders>
            <w:shd w:val="clear" w:color="auto" w:fill="auto"/>
            <w:vAlign w:val="bottom"/>
          </w:tcPr>
          <w:p w:rsidR="00760D48" w:rsidRDefault="00760D48" w:rsidP="00AB18F6">
            <w:pPr>
              <w:spacing w:line="0" w:lineRule="atLeast"/>
              <w:rPr>
                <w:rFonts w:ascii="Times New Roman" w:eastAsia="Times New Roman" w:hAnsi="Times New Roman"/>
                <w:sz w:val="2"/>
              </w:rPr>
            </w:pPr>
          </w:p>
        </w:tc>
      </w:tr>
      <w:tr w:rsidR="00760D48" w:rsidTr="00AB18F6">
        <w:trPr>
          <w:trHeight w:val="253"/>
        </w:trPr>
        <w:tc>
          <w:tcPr>
            <w:tcW w:w="2040" w:type="dxa"/>
            <w:tcBorders>
              <w:left w:val="single" w:sz="8" w:space="0" w:color="78537B"/>
              <w:right w:val="single" w:sz="8" w:space="0" w:color="78537B"/>
            </w:tcBorders>
            <w:shd w:val="clear" w:color="auto" w:fill="auto"/>
            <w:vAlign w:val="bottom"/>
          </w:tcPr>
          <w:p w:rsidR="00760D48" w:rsidRDefault="00760D48" w:rsidP="00AB18F6">
            <w:pPr>
              <w:spacing w:line="0" w:lineRule="atLeast"/>
              <w:rPr>
                <w:rFonts w:ascii="Times New Roman" w:eastAsia="Times New Roman" w:hAnsi="Times New Roman"/>
              </w:rPr>
            </w:pPr>
          </w:p>
        </w:tc>
        <w:tc>
          <w:tcPr>
            <w:tcW w:w="1660" w:type="dxa"/>
            <w:tcBorders>
              <w:right w:val="single" w:sz="8" w:space="0" w:color="78537B"/>
            </w:tcBorders>
            <w:shd w:val="clear" w:color="auto" w:fill="auto"/>
            <w:vAlign w:val="bottom"/>
          </w:tcPr>
          <w:p w:rsidR="00760D48" w:rsidRDefault="00760D48" w:rsidP="00AB18F6">
            <w:pPr>
              <w:spacing w:line="0" w:lineRule="atLeast"/>
              <w:ind w:left="380"/>
              <w:rPr>
                <w:rFonts w:ascii="Arial" w:eastAsia="Arial" w:hAnsi="Arial"/>
                <w:b/>
                <w:color w:val="FFFFFF"/>
                <w:sz w:val="16"/>
              </w:rPr>
            </w:pPr>
            <w:r>
              <w:rPr>
                <w:rFonts w:ascii="Arial" w:eastAsia="Arial" w:hAnsi="Arial"/>
                <w:b/>
                <w:color w:val="FFFFFF"/>
                <w:sz w:val="16"/>
              </w:rPr>
              <w:t>HR (95%CI)</w:t>
            </w:r>
          </w:p>
        </w:tc>
        <w:tc>
          <w:tcPr>
            <w:tcW w:w="760" w:type="dxa"/>
            <w:tcBorders>
              <w:right w:val="single" w:sz="8" w:space="0" w:color="78537B"/>
            </w:tcBorders>
            <w:shd w:val="clear" w:color="auto" w:fill="auto"/>
            <w:vAlign w:val="bottom"/>
          </w:tcPr>
          <w:p w:rsidR="00760D48" w:rsidRDefault="00760D48" w:rsidP="00AB18F6">
            <w:pPr>
              <w:spacing w:line="0" w:lineRule="atLeast"/>
              <w:jc w:val="center"/>
              <w:rPr>
                <w:rFonts w:ascii="Arial" w:eastAsia="Arial" w:hAnsi="Arial"/>
                <w:b/>
                <w:color w:val="FFFFFF"/>
                <w:w w:val="90"/>
                <w:sz w:val="16"/>
              </w:rPr>
            </w:pPr>
            <w:r>
              <w:rPr>
                <w:rFonts w:ascii="Arial" w:eastAsia="Arial" w:hAnsi="Arial"/>
                <w:b/>
                <w:color w:val="FFFFFF"/>
                <w:w w:val="90"/>
                <w:sz w:val="16"/>
              </w:rPr>
              <w:t>p value</w:t>
            </w:r>
          </w:p>
        </w:tc>
      </w:tr>
      <w:tr w:rsidR="00760D48" w:rsidTr="00AB18F6">
        <w:trPr>
          <w:trHeight w:val="286"/>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Gender (M vs. F)</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1.131 (0.151–3.167)</w:t>
            </w: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0.31</w:t>
            </w:r>
          </w:p>
        </w:tc>
      </w:tr>
      <w:tr w:rsidR="00760D48" w:rsidTr="00AB18F6">
        <w:trPr>
          <w:trHeight w:val="273"/>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Age (≥ 60 vs. &lt; 60)</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0.519 (0.212–1.926)</w:t>
            </w: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0.32</w:t>
            </w:r>
          </w:p>
        </w:tc>
      </w:tr>
      <w:tr w:rsidR="00760D48" w:rsidTr="00AB18F6">
        <w:trPr>
          <w:trHeight w:val="262"/>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Serum potassium</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1.426 (1.077–1.413)</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0.02</w:t>
            </w:r>
          </w:p>
        </w:tc>
      </w:tr>
      <w:tr w:rsidR="00760D48" w:rsidTr="00AB18F6">
        <w:trPr>
          <w:trHeight w:val="231"/>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w w:val="97"/>
                <w:sz w:val="18"/>
              </w:rPr>
            </w:pPr>
            <w:r>
              <w:rPr>
                <w:rFonts w:ascii="Arial" w:eastAsia="Arial" w:hAnsi="Arial"/>
                <w:w w:val="97"/>
                <w:sz w:val="18"/>
              </w:rPr>
              <w:t>(≥ 4 mEq/l vs. &lt; 4mEq/l)</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rPr>
            </w:pPr>
          </w:p>
        </w:tc>
      </w:tr>
      <w:tr w:rsidR="00760D48" w:rsidTr="00AB18F6">
        <w:trPr>
          <w:trHeight w:val="262"/>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Ejection fraction</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1.242 (0.551–1.236)</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0.05</w:t>
            </w:r>
          </w:p>
        </w:tc>
      </w:tr>
      <w:tr w:rsidR="00760D48" w:rsidTr="00AB18F6">
        <w:trPr>
          <w:trHeight w:val="231"/>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 50% vs. &lt; 50%)</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rPr>
            </w:pPr>
          </w:p>
        </w:tc>
      </w:tr>
      <w:tr w:rsidR="00760D48" w:rsidTr="00AB18F6">
        <w:trPr>
          <w:trHeight w:val="271"/>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Hypertension (present</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0"/>
                <w:sz w:val="18"/>
              </w:rPr>
            </w:pPr>
            <w:r>
              <w:rPr>
                <w:rFonts w:ascii="Arial" w:eastAsia="Arial" w:hAnsi="Arial"/>
                <w:w w:val="90"/>
                <w:sz w:val="18"/>
              </w:rPr>
              <w:t>1.986 (0.191–47.626)</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0.45</w:t>
            </w:r>
          </w:p>
        </w:tc>
      </w:tr>
      <w:tr w:rsidR="00760D48" w:rsidTr="00AB18F6">
        <w:trPr>
          <w:trHeight w:val="222"/>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vs. absent)</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271"/>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Diabetes (present</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1.378 (1.107–1.412)</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0.03</w:t>
            </w:r>
          </w:p>
        </w:tc>
      </w:tr>
      <w:tr w:rsidR="00760D48" w:rsidTr="00AB18F6">
        <w:trPr>
          <w:trHeight w:val="222"/>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vs. absent)</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273"/>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BMI (≥ 25 vs. &lt; 25)</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0.658 (0.421–1.229)</w:t>
            </w: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0.19</w:t>
            </w:r>
          </w:p>
        </w:tc>
      </w:tr>
      <w:tr w:rsidR="00760D48" w:rsidTr="00AB18F6">
        <w:trPr>
          <w:trHeight w:val="273"/>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Smoking (yes vs. no)</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0"/>
                <w:sz w:val="18"/>
              </w:rPr>
            </w:pPr>
            <w:r>
              <w:rPr>
                <w:rFonts w:ascii="Arial" w:eastAsia="Arial" w:hAnsi="Arial"/>
                <w:w w:val="90"/>
                <w:sz w:val="18"/>
              </w:rPr>
              <w:t>1.716 (0.635–66.137)</w:t>
            </w: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0.67</w:t>
            </w:r>
          </w:p>
        </w:tc>
      </w:tr>
      <w:tr w:rsidR="00760D48" w:rsidTr="00AB18F6">
        <w:trPr>
          <w:trHeight w:val="271"/>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w w:val="99"/>
                <w:sz w:val="18"/>
              </w:rPr>
            </w:pPr>
            <w:r>
              <w:rPr>
                <w:rFonts w:ascii="Arial" w:eastAsia="Arial" w:hAnsi="Arial"/>
                <w:w w:val="99"/>
                <w:sz w:val="18"/>
              </w:rPr>
              <w:t>Total cholesterol (≥ 200</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1.109 (0.229–6.443)</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0.75</w:t>
            </w:r>
          </w:p>
        </w:tc>
      </w:tr>
      <w:tr w:rsidR="00760D48" w:rsidTr="00AB18F6">
        <w:trPr>
          <w:trHeight w:val="222"/>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mg/dl vs. &lt; 200 mg/dl)</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271"/>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BNP (≥ 100 pg/ml vs.</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0.582 (0.316–1.572)</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0.37</w:t>
            </w:r>
          </w:p>
        </w:tc>
      </w:tr>
      <w:tr w:rsidR="00760D48" w:rsidTr="00AB18F6">
        <w:trPr>
          <w:trHeight w:val="222"/>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&lt; 100 pg/ml)</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271"/>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Troponin (≥ 14 mg/l vs.</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0.088 (0.087–1.983)</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0.31</w:t>
            </w:r>
          </w:p>
        </w:tc>
      </w:tr>
      <w:tr w:rsidR="00760D48" w:rsidTr="00AB18F6">
        <w:trPr>
          <w:trHeight w:val="222"/>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&lt; 14 ng/l)</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271"/>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Creatinine (≥ 1.2 mg/dl</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0.865 (0.794–1.181)</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0.28</w:t>
            </w:r>
          </w:p>
        </w:tc>
      </w:tr>
      <w:tr w:rsidR="00760D48" w:rsidTr="00AB18F6">
        <w:trPr>
          <w:trHeight w:val="222"/>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vs &lt; 1.2 mg/dl)</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270"/>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vertAlign w:val="superscript"/>
              </w:rPr>
            </w:pPr>
            <w:r>
              <w:rPr>
                <w:rFonts w:ascii="Arial" w:eastAsia="Arial" w:hAnsi="Arial"/>
                <w:sz w:val="18"/>
              </w:rPr>
              <w:t>Family history of CAD</w:t>
            </w:r>
            <w:r>
              <w:rPr>
                <w:rFonts w:ascii="Arial" w:eastAsia="Arial" w:hAnsi="Arial"/>
                <w:sz w:val="18"/>
                <w:vertAlign w:val="superscript"/>
              </w:rPr>
              <w:t>c</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0"/>
                <w:sz w:val="18"/>
              </w:rPr>
            </w:pPr>
            <w:r>
              <w:rPr>
                <w:rFonts w:ascii="Arial" w:eastAsia="Arial" w:hAnsi="Arial"/>
                <w:w w:val="90"/>
                <w:sz w:val="18"/>
              </w:rPr>
              <w:t>1.927 (0.251–59.172)</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0.43</w:t>
            </w:r>
          </w:p>
        </w:tc>
      </w:tr>
      <w:tr w:rsidR="00760D48" w:rsidTr="00AB18F6">
        <w:trPr>
          <w:trHeight w:val="222"/>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(present vs. absent)</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271"/>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Multi-vessel disease</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0"/>
                <w:sz w:val="18"/>
              </w:rPr>
            </w:pPr>
            <w:r>
              <w:rPr>
                <w:rFonts w:ascii="Arial" w:eastAsia="Arial" w:hAnsi="Arial"/>
                <w:w w:val="90"/>
                <w:sz w:val="18"/>
              </w:rPr>
              <w:t>0.229 (0.026–67.472)</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85"/>
                <w:sz w:val="18"/>
              </w:rPr>
            </w:pPr>
            <w:r>
              <w:rPr>
                <w:rFonts w:ascii="Arial" w:eastAsia="Arial" w:hAnsi="Arial"/>
                <w:w w:val="85"/>
                <w:sz w:val="18"/>
              </w:rPr>
              <w:t>0.14</w:t>
            </w:r>
          </w:p>
        </w:tc>
      </w:tr>
      <w:tr w:rsidR="00760D48" w:rsidTr="00AB18F6">
        <w:trPr>
          <w:trHeight w:val="222"/>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(present vs. absent)</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bl>
    <w:p w:rsidR="00760D48" w:rsidRDefault="00760D48" w:rsidP="00760D48">
      <w:pPr>
        <w:spacing w:line="70" w:lineRule="exact"/>
        <w:rPr>
          <w:rFonts w:ascii="Times New Roman" w:eastAsia="Times New Roman" w:hAnsi="Times New Roman"/>
        </w:rPr>
      </w:pPr>
    </w:p>
    <w:p w:rsidR="00760D48" w:rsidRDefault="00760D48" w:rsidP="00760D48">
      <w:pPr>
        <w:spacing w:line="270" w:lineRule="auto"/>
        <w:ind w:right="140"/>
        <w:jc w:val="both"/>
        <w:rPr>
          <w:rFonts w:ascii="Arial" w:eastAsia="Arial" w:hAnsi="Arial"/>
          <w:sz w:val="14"/>
        </w:rPr>
      </w:pPr>
      <w:r>
        <w:rPr>
          <w:rFonts w:ascii="Arial" w:eastAsia="Arial" w:hAnsi="Arial"/>
          <w:sz w:val="14"/>
        </w:rPr>
        <w:t>BMI: body mass index; BNP: basic natriuretic peptide; CAD: coronary artery disease</w:t>
      </w:r>
    </w:p>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296" w:lineRule="exact"/>
        <w:rPr>
          <w:rFonts w:ascii="Times New Roman" w:eastAsia="Times New Roman" w:hAnsi="Times New Roman"/>
        </w:rPr>
      </w:pPr>
    </w:p>
    <w:p w:rsidR="00760D48" w:rsidRDefault="00760D48" w:rsidP="00760D48">
      <w:pPr>
        <w:spacing w:line="304" w:lineRule="auto"/>
        <w:jc w:val="both"/>
        <w:rPr>
          <w:rFonts w:ascii="Arial" w:eastAsia="Arial" w:hAnsi="Arial"/>
          <w:sz w:val="18"/>
        </w:rPr>
      </w:pPr>
      <w:r>
        <w:rPr>
          <w:rFonts w:ascii="Arial" w:eastAsia="Arial" w:hAnsi="Arial"/>
          <w:sz w:val="18"/>
        </w:rPr>
        <w:t>pressure as well as prevention of coronary atheroscle-rosis are as follows; a) inhibition of platelet aggregation and arterial thrombosis; b) reduction in renal vascular resistance and increase in glomerular filtration rate;</w:t>
      </w:r>
    </w:p>
    <w:p w:rsidR="00760D48" w:rsidRDefault="00760D48" w:rsidP="00760D48">
      <w:pPr>
        <w:spacing w:line="304" w:lineRule="auto"/>
        <w:jc w:val="both"/>
        <w:rPr>
          <w:rFonts w:ascii="Arial" w:eastAsia="Arial" w:hAnsi="Arial"/>
          <w:sz w:val="18"/>
        </w:rPr>
        <w:sectPr w:rsidR="00760D48">
          <w:type w:val="continuous"/>
          <w:pgSz w:w="11620" w:h="16441"/>
          <w:pgMar w:top="919" w:right="1302" w:bottom="144" w:left="940" w:header="0" w:footer="0" w:gutter="0"/>
          <w:cols w:num="2" w:space="0" w:equalWidth="0">
            <w:col w:w="4480" w:space="440"/>
            <w:col w:w="4460"/>
          </w:cols>
          <w:docGrid w:linePitch="360"/>
        </w:sectPr>
      </w:pPr>
    </w:p>
    <w:p w:rsidR="00760D48" w:rsidRDefault="00760D48" w:rsidP="00760D48">
      <w:pPr>
        <w:spacing w:line="200" w:lineRule="exact"/>
        <w:rPr>
          <w:rFonts w:ascii="Times New Roman" w:eastAsia="Times New Roman" w:hAnsi="Times New Roman"/>
        </w:rPr>
      </w:pPr>
    </w:p>
    <w:p w:rsidR="00760D48" w:rsidRDefault="00760D48" w:rsidP="00760D48">
      <w:pPr>
        <w:spacing w:line="218" w:lineRule="exact"/>
        <w:rPr>
          <w:rFonts w:ascii="Times New Roman" w:eastAsia="Times New Roman" w:hAnsi="Times New Roman"/>
        </w:rPr>
      </w:pPr>
    </w:p>
    <w:p w:rsidR="00760D48" w:rsidRDefault="00760D48" w:rsidP="00760D48">
      <w:pPr>
        <w:tabs>
          <w:tab w:val="left" w:pos="3280"/>
        </w:tabs>
        <w:spacing w:line="0" w:lineRule="atLeast"/>
        <w:ind w:left="20"/>
        <w:rPr>
          <w:rFonts w:ascii="Arial" w:eastAsia="Arial" w:hAnsi="Arial"/>
          <w:sz w:val="14"/>
        </w:rPr>
      </w:pPr>
      <w:r>
        <w:rPr>
          <w:rFonts w:ascii="Arial" w:eastAsia="Arial" w:hAnsi="Arial"/>
          <w:sz w:val="16"/>
        </w:rPr>
        <w:t>62</w:t>
      </w:r>
      <w:r>
        <w:rPr>
          <w:rFonts w:ascii="Times New Roman" w:eastAsia="Times New Roman" w:hAnsi="Times New Roman"/>
        </w:rPr>
        <w:tab/>
      </w:r>
      <w:r>
        <w:rPr>
          <w:rFonts w:ascii="Arial" w:eastAsia="Arial" w:hAnsi="Arial"/>
          <w:sz w:val="14"/>
        </w:rPr>
        <w:t>www.journals.viamedica.pl/acta_angiologica</w:t>
      </w:r>
    </w:p>
    <w:p w:rsidR="00760D48" w:rsidRDefault="00760D48" w:rsidP="00760D48">
      <w:pPr>
        <w:tabs>
          <w:tab w:val="left" w:pos="3280"/>
        </w:tabs>
        <w:spacing w:line="0" w:lineRule="atLeast"/>
        <w:ind w:left="20"/>
        <w:rPr>
          <w:rFonts w:ascii="Arial" w:eastAsia="Arial" w:hAnsi="Arial"/>
          <w:sz w:val="14"/>
        </w:rPr>
        <w:sectPr w:rsidR="00760D48">
          <w:type w:val="continuous"/>
          <w:pgSz w:w="11620" w:h="16441"/>
          <w:pgMar w:top="919" w:right="1302" w:bottom="144" w:left="940" w:header="0" w:footer="0" w:gutter="0"/>
          <w:cols w:space="0" w:equalWidth="0">
            <w:col w:w="9380"/>
          </w:cols>
          <w:docGrid w:linePitch="360"/>
        </w:sectPr>
      </w:pPr>
    </w:p>
    <w:p w:rsidR="00760D48" w:rsidRDefault="00760D48" w:rsidP="00760D48">
      <w:pPr>
        <w:spacing w:line="0" w:lineRule="atLeast"/>
        <w:ind w:left="4600"/>
        <w:rPr>
          <w:rFonts w:ascii="Arial" w:eastAsia="Arial" w:hAnsi="Arial"/>
          <w:b/>
          <w:sz w:val="15"/>
        </w:rPr>
      </w:pPr>
      <w:r>
        <w:rPr>
          <w:rFonts w:ascii="Arial" w:eastAsia="Arial" w:hAnsi="Arial"/>
          <w:sz w:val="15"/>
        </w:rPr>
        <w:lastRenderedPageBreak/>
        <w:t xml:space="preserve">Afrasyab Altaf et al., </w:t>
      </w:r>
      <w:r>
        <w:rPr>
          <w:rFonts w:ascii="Arial" w:eastAsia="Arial" w:hAnsi="Arial"/>
          <w:b/>
          <w:sz w:val="15"/>
        </w:rPr>
        <w:t>Serum potassium and coronary artery disease</w:t>
      </w:r>
    </w:p>
    <w:p w:rsidR="00760D48" w:rsidRDefault="001D2EC7" w:rsidP="00760D48">
      <w:pPr>
        <w:spacing w:line="20" w:lineRule="exact"/>
        <w:rPr>
          <w:rFonts w:ascii="Times New Roman" w:eastAsia="Times New Roman" w:hAnsi="Times New Roman"/>
        </w:rPr>
      </w:pPr>
      <w:r>
        <w:rPr>
          <w:rFonts w:ascii="Arial" w:eastAsia="Arial" w:hAnsi="Arial"/>
          <w:b/>
          <w:sz w:val="15"/>
        </w:rPr>
        <w:pict>
          <v:line id="_x0000_s1095" style="position:absolute;z-index:-251586560" from=".15pt,4.95pt" to="467.9pt,4.95pt" o:userdrawn="t" strokecolor="#6d6e71" strokeweight=".5pt"/>
        </w:pict>
      </w:r>
    </w:p>
    <w:p w:rsidR="00760D48" w:rsidRDefault="00760D48" w:rsidP="00760D48">
      <w:pPr>
        <w:spacing w:line="20" w:lineRule="exact"/>
        <w:rPr>
          <w:rFonts w:ascii="Times New Roman" w:eastAsia="Times New Roman" w:hAnsi="Times New Roman"/>
        </w:rPr>
        <w:sectPr w:rsidR="00760D48">
          <w:pgSz w:w="11620" w:h="16441"/>
          <w:pgMar w:top="918" w:right="962" w:bottom="144" w:left="1300" w:header="0" w:footer="0" w:gutter="0"/>
          <w:cols w:space="0" w:equalWidth="0">
            <w:col w:w="9360"/>
          </w:cols>
          <w:docGrid w:linePitch="360"/>
        </w:sectPr>
      </w:pPr>
    </w:p>
    <w:p w:rsidR="00760D48" w:rsidRDefault="00760D48" w:rsidP="00760D48">
      <w:pPr>
        <w:spacing w:line="389" w:lineRule="exact"/>
        <w:rPr>
          <w:rFonts w:ascii="Times New Roman" w:eastAsia="Times New Roman" w:hAnsi="Times New Roman"/>
        </w:rPr>
      </w:pPr>
    </w:p>
    <w:p w:rsidR="00760D48" w:rsidRDefault="00760D48" w:rsidP="00760D48">
      <w:pPr>
        <w:spacing w:line="0" w:lineRule="atLeast"/>
        <w:rPr>
          <w:rFonts w:ascii="Arial" w:eastAsia="Arial" w:hAnsi="Arial"/>
          <w:sz w:val="18"/>
        </w:rPr>
      </w:pPr>
      <w:r>
        <w:rPr>
          <w:rFonts w:ascii="Arial" w:eastAsia="Arial" w:hAnsi="Arial"/>
          <w:b/>
          <w:sz w:val="18"/>
        </w:rPr>
        <w:t xml:space="preserve">Table 4. </w:t>
      </w:r>
      <w:r>
        <w:rPr>
          <w:rFonts w:ascii="Arial" w:eastAsia="Arial" w:hAnsi="Arial"/>
          <w:sz w:val="18"/>
        </w:rPr>
        <w:t>Multivariate regression analysis for MACE</w:t>
      </w:r>
    </w:p>
    <w:p w:rsidR="00760D48" w:rsidRDefault="00760D48" w:rsidP="00760D48">
      <w:pPr>
        <w:spacing w:line="20" w:lineRule="exact"/>
        <w:rPr>
          <w:rFonts w:ascii="Times New Roman" w:eastAsia="Times New Roman" w:hAnsi="Times New Roman"/>
        </w:rPr>
      </w:pPr>
      <w:r>
        <w:rPr>
          <w:rFonts w:ascii="Arial" w:eastAsia="Arial" w:hAnsi="Arial"/>
          <w:noProof/>
          <w:sz w:val="18"/>
          <w:lang w:bidi="ar-SA"/>
        </w:rPr>
        <w:drawing>
          <wp:anchor distT="0" distB="0" distL="114300" distR="114300" simplePos="0" relativeHeight="251730944" behindDoc="1" locked="0" layoutInCell="1" allowOverlap="1">
            <wp:simplePos x="0" y="0"/>
            <wp:positionH relativeFrom="column">
              <wp:posOffset>-6350</wp:posOffset>
            </wp:positionH>
            <wp:positionV relativeFrom="paragraph">
              <wp:posOffset>92075</wp:posOffset>
            </wp:positionV>
            <wp:extent cx="2848610" cy="365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48610" cy="365760"/>
                    </a:xfrm>
                    <a:prstGeom prst="rect">
                      <a:avLst/>
                    </a:prstGeom>
                    <a:noFill/>
                  </pic:spPr>
                </pic:pic>
              </a:graphicData>
            </a:graphic>
            <wp14:sizeRelH relativeFrom="page">
              <wp14:pctWidth>0</wp14:pctWidth>
            </wp14:sizeRelH>
            <wp14:sizeRelV relativeFrom="page">
              <wp14:pctHeight>0</wp14:pctHeight>
            </wp14:sizeRelV>
          </wp:anchor>
        </w:drawing>
      </w:r>
    </w:p>
    <w:p w:rsidR="00760D48" w:rsidRDefault="00760D48" w:rsidP="00760D48">
      <w:pPr>
        <w:spacing w:line="12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040"/>
        <w:gridCol w:w="1660"/>
        <w:gridCol w:w="760"/>
      </w:tblGrid>
      <w:tr w:rsidR="00760D48" w:rsidTr="00AB18F6">
        <w:trPr>
          <w:trHeight w:val="242"/>
        </w:trPr>
        <w:tc>
          <w:tcPr>
            <w:tcW w:w="2040" w:type="dxa"/>
            <w:tcBorders>
              <w:top w:val="single" w:sz="8" w:space="0" w:color="78537B"/>
              <w:left w:val="single" w:sz="8" w:space="0" w:color="78537B"/>
              <w:right w:val="single" w:sz="8" w:space="0" w:color="78537B"/>
            </w:tcBorders>
            <w:shd w:val="clear" w:color="auto" w:fill="auto"/>
            <w:vAlign w:val="bottom"/>
          </w:tcPr>
          <w:p w:rsidR="00760D48" w:rsidRDefault="00760D48" w:rsidP="00AB18F6">
            <w:pPr>
              <w:spacing w:line="0" w:lineRule="atLeast"/>
              <w:rPr>
                <w:rFonts w:ascii="Times New Roman" w:eastAsia="Times New Roman" w:hAnsi="Times New Roman"/>
                <w:sz w:val="21"/>
              </w:rPr>
            </w:pPr>
          </w:p>
        </w:tc>
        <w:tc>
          <w:tcPr>
            <w:tcW w:w="2420" w:type="dxa"/>
            <w:gridSpan w:val="2"/>
            <w:tcBorders>
              <w:top w:val="single" w:sz="8" w:space="0" w:color="78537B"/>
              <w:right w:val="single" w:sz="8" w:space="0" w:color="78537B"/>
            </w:tcBorders>
            <w:shd w:val="clear" w:color="auto" w:fill="auto"/>
            <w:vAlign w:val="bottom"/>
          </w:tcPr>
          <w:p w:rsidR="00760D48" w:rsidRDefault="00760D48" w:rsidP="00AB18F6">
            <w:pPr>
              <w:spacing w:line="0" w:lineRule="atLeast"/>
              <w:ind w:left="460"/>
              <w:rPr>
                <w:rFonts w:ascii="Arial" w:eastAsia="Arial" w:hAnsi="Arial"/>
                <w:b/>
                <w:color w:val="FFFFFF"/>
                <w:sz w:val="16"/>
              </w:rPr>
            </w:pPr>
            <w:r>
              <w:rPr>
                <w:rFonts w:ascii="Arial" w:eastAsia="Arial" w:hAnsi="Arial"/>
                <w:b/>
                <w:color w:val="FFFFFF"/>
                <w:sz w:val="16"/>
              </w:rPr>
              <w:t>Multivariate analysis</w:t>
            </w:r>
          </w:p>
        </w:tc>
      </w:tr>
      <w:tr w:rsidR="00760D48" w:rsidTr="00AB18F6">
        <w:trPr>
          <w:trHeight w:val="26"/>
        </w:trPr>
        <w:tc>
          <w:tcPr>
            <w:tcW w:w="2040" w:type="dxa"/>
            <w:tcBorders>
              <w:left w:val="single" w:sz="8" w:space="0" w:color="78537B"/>
              <w:bottom w:val="single" w:sz="8" w:space="0" w:color="78537B"/>
              <w:right w:val="single" w:sz="8" w:space="0" w:color="78537B"/>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1660" w:type="dxa"/>
            <w:tcBorders>
              <w:bottom w:val="single" w:sz="8" w:space="0" w:color="78537B"/>
            </w:tcBorders>
            <w:shd w:val="clear" w:color="auto" w:fill="auto"/>
            <w:vAlign w:val="bottom"/>
          </w:tcPr>
          <w:p w:rsidR="00760D48" w:rsidRDefault="00760D48" w:rsidP="00AB18F6">
            <w:pPr>
              <w:spacing w:line="0" w:lineRule="atLeast"/>
              <w:rPr>
                <w:rFonts w:ascii="Times New Roman" w:eastAsia="Times New Roman" w:hAnsi="Times New Roman"/>
                <w:sz w:val="2"/>
              </w:rPr>
            </w:pPr>
          </w:p>
        </w:tc>
        <w:tc>
          <w:tcPr>
            <w:tcW w:w="760" w:type="dxa"/>
            <w:tcBorders>
              <w:bottom w:val="single" w:sz="8" w:space="0" w:color="78537B"/>
              <w:right w:val="single" w:sz="8" w:space="0" w:color="78537B"/>
            </w:tcBorders>
            <w:shd w:val="clear" w:color="auto" w:fill="auto"/>
            <w:vAlign w:val="bottom"/>
          </w:tcPr>
          <w:p w:rsidR="00760D48" w:rsidRDefault="00760D48" w:rsidP="00AB18F6">
            <w:pPr>
              <w:spacing w:line="0" w:lineRule="atLeast"/>
              <w:rPr>
                <w:rFonts w:ascii="Times New Roman" w:eastAsia="Times New Roman" w:hAnsi="Times New Roman"/>
                <w:sz w:val="2"/>
              </w:rPr>
            </w:pPr>
          </w:p>
        </w:tc>
      </w:tr>
      <w:tr w:rsidR="00760D48" w:rsidTr="00AB18F6">
        <w:trPr>
          <w:trHeight w:val="253"/>
        </w:trPr>
        <w:tc>
          <w:tcPr>
            <w:tcW w:w="2040" w:type="dxa"/>
            <w:tcBorders>
              <w:left w:val="single" w:sz="8" w:space="0" w:color="78537B"/>
              <w:right w:val="single" w:sz="8" w:space="0" w:color="78537B"/>
            </w:tcBorders>
            <w:shd w:val="clear" w:color="auto" w:fill="auto"/>
            <w:vAlign w:val="bottom"/>
          </w:tcPr>
          <w:p w:rsidR="00760D48" w:rsidRDefault="00760D48" w:rsidP="00AB18F6">
            <w:pPr>
              <w:spacing w:line="0" w:lineRule="atLeast"/>
              <w:rPr>
                <w:rFonts w:ascii="Times New Roman" w:eastAsia="Times New Roman" w:hAnsi="Times New Roman"/>
              </w:rPr>
            </w:pPr>
          </w:p>
        </w:tc>
        <w:tc>
          <w:tcPr>
            <w:tcW w:w="1660" w:type="dxa"/>
            <w:tcBorders>
              <w:right w:val="single" w:sz="8" w:space="0" w:color="78537B"/>
            </w:tcBorders>
            <w:shd w:val="clear" w:color="auto" w:fill="auto"/>
            <w:vAlign w:val="bottom"/>
          </w:tcPr>
          <w:p w:rsidR="00760D48" w:rsidRDefault="00760D48" w:rsidP="00AB18F6">
            <w:pPr>
              <w:spacing w:line="0" w:lineRule="atLeast"/>
              <w:ind w:left="380"/>
              <w:rPr>
                <w:rFonts w:ascii="Arial" w:eastAsia="Arial" w:hAnsi="Arial"/>
                <w:b/>
                <w:color w:val="FFFFFF"/>
                <w:sz w:val="16"/>
              </w:rPr>
            </w:pPr>
            <w:r>
              <w:rPr>
                <w:rFonts w:ascii="Arial" w:eastAsia="Arial" w:hAnsi="Arial"/>
                <w:b/>
                <w:color w:val="FFFFFF"/>
                <w:sz w:val="16"/>
              </w:rPr>
              <w:t>HR (95%CI)</w:t>
            </w:r>
          </w:p>
        </w:tc>
        <w:tc>
          <w:tcPr>
            <w:tcW w:w="760" w:type="dxa"/>
            <w:tcBorders>
              <w:right w:val="single" w:sz="8" w:space="0" w:color="78537B"/>
            </w:tcBorders>
            <w:shd w:val="clear" w:color="auto" w:fill="auto"/>
            <w:vAlign w:val="bottom"/>
          </w:tcPr>
          <w:p w:rsidR="00760D48" w:rsidRDefault="00760D48" w:rsidP="00AB18F6">
            <w:pPr>
              <w:spacing w:line="0" w:lineRule="atLeast"/>
              <w:jc w:val="center"/>
              <w:rPr>
                <w:rFonts w:ascii="Arial" w:eastAsia="Arial" w:hAnsi="Arial"/>
                <w:b/>
                <w:color w:val="FFFFFF"/>
                <w:w w:val="90"/>
                <w:sz w:val="16"/>
              </w:rPr>
            </w:pPr>
            <w:r>
              <w:rPr>
                <w:rFonts w:ascii="Arial" w:eastAsia="Arial" w:hAnsi="Arial"/>
                <w:b/>
                <w:color w:val="FFFFFF"/>
                <w:w w:val="90"/>
                <w:sz w:val="16"/>
              </w:rPr>
              <w:t>p value</w:t>
            </w:r>
          </w:p>
        </w:tc>
      </w:tr>
      <w:tr w:rsidR="00760D48" w:rsidTr="00AB18F6">
        <w:trPr>
          <w:trHeight w:val="284"/>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BMI (≥ 100 pg/ml vs.</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0.481 (0.613–2.754)</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0.54</w:t>
            </w:r>
          </w:p>
        </w:tc>
      </w:tr>
      <w:tr w:rsidR="00760D48" w:rsidTr="00AB18F6">
        <w:trPr>
          <w:trHeight w:val="222"/>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&lt; 100 pg/ml)</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262"/>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Serum potassium</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1.278(1.073–1.662)</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0.03</w:t>
            </w:r>
          </w:p>
        </w:tc>
      </w:tr>
      <w:tr w:rsidR="00760D48" w:rsidTr="00AB18F6">
        <w:trPr>
          <w:trHeight w:val="231"/>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w w:val="95"/>
                <w:sz w:val="18"/>
              </w:rPr>
            </w:pPr>
            <w:r>
              <w:rPr>
                <w:rFonts w:ascii="Arial" w:eastAsia="Arial" w:hAnsi="Arial"/>
                <w:w w:val="95"/>
                <w:sz w:val="18"/>
              </w:rPr>
              <w:t>(≥ 4 mEq/l vs. &lt; 4 mEq/l)</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rPr>
            </w:pPr>
          </w:p>
        </w:tc>
      </w:tr>
      <w:tr w:rsidR="00760D48" w:rsidTr="00AB18F6">
        <w:trPr>
          <w:trHeight w:val="262"/>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Ejection fraction</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1.481 (0.737–1.551)</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0.32</w:t>
            </w:r>
          </w:p>
        </w:tc>
      </w:tr>
      <w:tr w:rsidR="00760D48" w:rsidTr="00AB18F6">
        <w:trPr>
          <w:trHeight w:val="231"/>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 50% vs. &lt; 50%)</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rPr>
            </w:pPr>
          </w:p>
        </w:tc>
      </w:tr>
      <w:tr w:rsidR="00760D48" w:rsidTr="00AB18F6">
        <w:trPr>
          <w:trHeight w:val="271"/>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Diabetes (present</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1.331 (1.109–1.517)</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0.04</w:t>
            </w:r>
          </w:p>
        </w:tc>
      </w:tr>
      <w:tr w:rsidR="00760D48" w:rsidTr="00AB18F6">
        <w:trPr>
          <w:trHeight w:val="222"/>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vs. absent)</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r w:rsidR="00760D48" w:rsidTr="00AB18F6">
        <w:trPr>
          <w:trHeight w:val="271"/>
        </w:trPr>
        <w:tc>
          <w:tcPr>
            <w:tcW w:w="2040" w:type="dxa"/>
            <w:tcBorders>
              <w:left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Multi-vessel disease</w:t>
            </w:r>
          </w:p>
        </w:tc>
        <w:tc>
          <w:tcPr>
            <w:tcW w:w="16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0"/>
                <w:sz w:val="18"/>
              </w:rPr>
            </w:pPr>
            <w:r>
              <w:rPr>
                <w:rFonts w:ascii="Arial" w:eastAsia="Arial" w:hAnsi="Arial"/>
                <w:w w:val="90"/>
                <w:sz w:val="18"/>
              </w:rPr>
              <w:t>0.316 (0.030–71.482)</w:t>
            </w:r>
          </w:p>
        </w:tc>
        <w:tc>
          <w:tcPr>
            <w:tcW w:w="760" w:type="dxa"/>
            <w:tcBorders>
              <w:right w:val="single" w:sz="8" w:space="0" w:color="808285"/>
            </w:tcBorders>
            <w:shd w:val="clear" w:color="auto" w:fill="auto"/>
            <w:vAlign w:val="bottom"/>
          </w:tcPr>
          <w:p w:rsidR="00760D48" w:rsidRDefault="00760D48" w:rsidP="00AB18F6">
            <w:pPr>
              <w:spacing w:line="0" w:lineRule="atLeast"/>
              <w:jc w:val="center"/>
              <w:rPr>
                <w:rFonts w:ascii="Arial" w:eastAsia="Arial" w:hAnsi="Arial"/>
                <w:w w:val="91"/>
                <w:sz w:val="18"/>
              </w:rPr>
            </w:pPr>
            <w:r>
              <w:rPr>
                <w:rFonts w:ascii="Arial" w:eastAsia="Arial" w:hAnsi="Arial"/>
                <w:w w:val="91"/>
                <w:sz w:val="18"/>
              </w:rPr>
              <w:t>0.68</w:t>
            </w:r>
          </w:p>
        </w:tc>
      </w:tr>
      <w:tr w:rsidR="00760D48" w:rsidTr="00AB18F6">
        <w:trPr>
          <w:trHeight w:val="222"/>
        </w:trPr>
        <w:tc>
          <w:tcPr>
            <w:tcW w:w="2040" w:type="dxa"/>
            <w:tcBorders>
              <w:left w:val="single" w:sz="8" w:space="0" w:color="808285"/>
              <w:bottom w:val="single" w:sz="8" w:space="0" w:color="808285"/>
              <w:right w:val="single" w:sz="8" w:space="0" w:color="808285"/>
            </w:tcBorders>
            <w:shd w:val="clear" w:color="auto" w:fill="auto"/>
            <w:vAlign w:val="bottom"/>
          </w:tcPr>
          <w:p w:rsidR="00760D48" w:rsidRDefault="00760D48" w:rsidP="00AB18F6">
            <w:pPr>
              <w:spacing w:line="0" w:lineRule="atLeast"/>
              <w:ind w:left="120"/>
              <w:rPr>
                <w:rFonts w:ascii="Arial" w:eastAsia="Arial" w:hAnsi="Arial"/>
                <w:sz w:val="18"/>
              </w:rPr>
            </w:pPr>
            <w:r>
              <w:rPr>
                <w:rFonts w:ascii="Arial" w:eastAsia="Arial" w:hAnsi="Arial"/>
                <w:sz w:val="18"/>
              </w:rPr>
              <w:t>(present vs. absent)</w:t>
            </w:r>
          </w:p>
        </w:tc>
        <w:tc>
          <w:tcPr>
            <w:tcW w:w="16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c>
          <w:tcPr>
            <w:tcW w:w="760" w:type="dxa"/>
            <w:tcBorders>
              <w:bottom w:val="single" w:sz="8" w:space="0" w:color="808285"/>
              <w:right w:val="single" w:sz="8" w:space="0" w:color="808285"/>
            </w:tcBorders>
            <w:shd w:val="clear" w:color="auto" w:fill="auto"/>
            <w:vAlign w:val="bottom"/>
          </w:tcPr>
          <w:p w:rsidR="00760D48" w:rsidRDefault="00760D48" w:rsidP="00AB18F6">
            <w:pPr>
              <w:spacing w:line="0" w:lineRule="atLeast"/>
              <w:rPr>
                <w:rFonts w:ascii="Times New Roman" w:eastAsia="Times New Roman" w:hAnsi="Times New Roman"/>
                <w:sz w:val="19"/>
              </w:rPr>
            </w:pPr>
          </w:p>
        </w:tc>
      </w:tr>
    </w:tbl>
    <w:p w:rsidR="00760D48" w:rsidRDefault="00760D48" w:rsidP="00760D48">
      <w:pPr>
        <w:spacing w:line="200" w:lineRule="exact"/>
        <w:rPr>
          <w:rFonts w:ascii="Times New Roman" w:eastAsia="Times New Roman" w:hAnsi="Times New Roman"/>
        </w:rPr>
      </w:pPr>
    </w:p>
    <w:p w:rsidR="00760D48" w:rsidRDefault="00760D48" w:rsidP="00760D48">
      <w:pPr>
        <w:spacing w:line="200" w:lineRule="exact"/>
        <w:rPr>
          <w:rFonts w:ascii="Times New Roman" w:eastAsia="Times New Roman" w:hAnsi="Times New Roman"/>
        </w:rPr>
      </w:pPr>
    </w:p>
    <w:p w:rsidR="00760D48" w:rsidRDefault="00760D48" w:rsidP="00760D48">
      <w:pPr>
        <w:spacing w:line="349" w:lineRule="exact"/>
        <w:rPr>
          <w:rFonts w:ascii="Times New Roman" w:eastAsia="Times New Roman" w:hAnsi="Times New Roman"/>
        </w:rPr>
      </w:pPr>
    </w:p>
    <w:p w:rsidR="00760D48" w:rsidRDefault="00760D48" w:rsidP="00760D48">
      <w:pPr>
        <w:widowControl/>
        <w:numPr>
          <w:ilvl w:val="0"/>
          <w:numId w:val="3"/>
        </w:numPr>
        <w:tabs>
          <w:tab w:val="left" w:pos="198"/>
        </w:tabs>
        <w:autoSpaceDE/>
        <w:autoSpaceDN/>
        <w:spacing w:line="306" w:lineRule="auto"/>
        <w:ind w:firstLine="4"/>
        <w:jc w:val="both"/>
        <w:rPr>
          <w:rFonts w:ascii="Arial" w:eastAsia="Arial" w:hAnsi="Arial"/>
          <w:sz w:val="17"/>
        </w:rPr>
      </w:pPr>
      <w:r>
        <w:rPr>
          <w:rFonts w:ascii="Arial" w:eastAsia="Arial" w:hAnsi="Arial"/>
          <w:sz w:val="17"/>
        </w:rPr>
        <w:t>inhibition of free radical formation from vascular en-dothelial cells and macrophages; d) inhibition of vascular smooth muscle cell proliferation; and e) suppression of reactive oxygen species overproduction [23].</w:t>
      </w:r>
    </w:p>
    <w:p w:rsidR="00760D48" w:rsidRDefault="00760D48" w:rsidP="00760D48">
      <w:pPr>
        <w:spacing w:line="3" w:lineRule="exact"/>
        <w:rPr>
          <w:rFonts w:ascii="Arial" w:eastAsia="Arial" w:hAnsi="Arial"/>
          <w:sz w:val="17"/>
        </w:rPr>
      </w:pPr>
    </w:p>
    <w:p w:rsidR="00760D48" w:rsidRDefault="00760D48" w:rsidP="00760D48">
      <w:pPr>
        <w:spacing w:line="306" w:lineRule="auto"/>
        <w:ind w:firstLine="283"/>
        <w:jc w:val="both"/>
        <w:rPr>
          <w:rFonts w:ascii="Arial" w:eastAsia="Arial" w:hAnsi="Arial"/>
          <w:sz w:val="17"/>
        </w:rPr>
      </w:pPr>
      <w:r>
        <w:rPr>
          <w:rFonts w:ascii="Arial" w:eastAsia="Arial" w:hAnsi="Arial"/>
          <w:sz w:val="17"/>
        </w:rPr>
        <w:t>Such established findings are in contradiction to two previous studies [11, 12] which have reported that hyperkalemia is associated with increased atherosclero-sis. Multiple factors can affect serum potassium levels including renal function, dietary intake, hormonal status, renin-angiotensin–aldosterone system, heart failure, myocardial infarction and drugs. The major limitation in the study conducted by Cavusoglu et al. [11] was that they only included subjects of the male gender. Diane et al. [24] previously reported that male sex was associated with higher potassium levels as compared to females. This could have clearly affected the results obtained by Cavusoglu and his research team.</w:t>
      </w:r>
    </w:p>
    <w:p w:rsidR="00760D48" w:rsidRDefault="00760D48" w:rsidP="00760D48">
      <w:pPr>
        <w:spacing w:line="10" w:lineRule="exact"/>
        <w:rPr>
          <w:rFonts w:ascii="Arial" w:eastAsia="Arial" w:hAnsi="Arial"/>
          <w:sz w:val="17"/>
        </w:rPr>
      </w:pPr>
    </w:p>
    <w:p w:rsidR="00760D48" w:rsidRDefault="00760D48" w:rsidP="00760D48">
      <w:pPr>
        <w:spacing w:line="289" w:lineRule="auto"/>
        <w:ind w:firstLine="283"/>
        <w:jc w:val="both"/>
        <w:rPr>
          <w:rFonts w:ascii="Arial" w:eastAsia="Arial" w:hAnsi="Arial"/>
          <w:sz w:val="18"/>
        </w:rPr>
      </w:pPr>
      <w:r>
        <w:rPr>
          <w:rFonts w:ascii="Arial" w:eastAsia="Arial" w:hAnsi="Arial"/>
          <w:sz w:val="18"/>
        </w:rPr>
        <w:t>In the second study conducted by Guang et al. [12] the study group has no patients with myocardial infarc-tion. Although studies have shown that in acute stress such as myocardial infarction, the potassium level is higher due to various mechanisms involving necrosis induced activation of aldosterone system and sympa-thetic-adrenal induced involvement of sodium-potassi-um pumps [25–27]. But by the exclusion of such group from the study also means that patients with more severe could not be assessed for the observed results.</w:t>
      </w:r>
    </w:p>
    <w:p w:rsidR="00760D48" w:rsidRDefault="00760D48" w:rsidP="00760D48">
      <w:pPr>
        <w:spacing w:line="7" w:lineRule="exact"/>
        <w:rPr>
          <w:rFonts w:ascii="Arial" w:eastAsia="Arial" w:hAnsi="Arial"/>
          <w:sz w:val="17"/>
        </w:rPr>
      </w:pPr>
    </w:p>
    <w:p w:rsidR="00760D48" w:rsidRDefault="00760D48" w:rsidP="00760D48">
      <w:pPr>
        <w:spacing w:line="313" w:lineRule="auto"/>
        <w:ind w:firstLine="283"/>
        <w:jc w:val="both"/>
        <w:rPr>
          <w:rFonts w:ascii="Arial" w:eastAsia="Arial" w:hAnsi="Arial"/>
          <w:sz w:val="17"/>
        </w:rPr>
      </w:pPr>
      <w:r>
        <w:rPr>
          <w:rFonts w:ascii="Arial" w:eastAsia="Arial" w:hAnsi="Arial"/>
          <w:sz w:val="17"/>
        </w:rPr>
        <w:t>We, in our study, not only included subjects of both genders but also myocardial infarction patients along with patients of chronic and stable coronary artery disease. We believe such a study group would a better understanding of patients in real-life situation. Moreover, we in our study not only assessed severity of coronary atherosclerosis not only by Gensini score which assesses the severity of coronary vasculature on the an-atomical basis and has been described elsewhere [19], but also SYNTAX score which is well-established sys-</w:t>
      </w:r>
    </w:p>
    <w:p w:rsidR="00760D48" w:rsidRDefault="00760D48" w:rsidP="00760D48">
      <w:pPr>
        <w:spacing w:line="385" w:lineRule="exact"/>
        <w:rPr>
          <w:rFonts w:ascii="Times New Roman" w:eastAsia="Times New Roman" w:hAnsi="Times New Roman"/>
        </w:rPr>
      </w:pPr>
      <w:r>
        <w:rPr>
          <w:rFonts w:ascii="Arial" w:eastAsia="Arial" w:hAnsi="Arial"/>
          <w:sz w:val="17"/>
        </w:rPr>
        <w:br w:type="column"/>
      </w:r>
    </w:p>
    <w:p w:rsidR="00760D48" w:rsidRDefault="00760D48" w:rsidP="00760D48">
      <w:pPr>
        <w:spacing w:line="301" w:lineRule="auto"/>
        <w:jc w:val="both"/>
        <w:rPr>
          <w:rFonts w:ascii="Arial" w:eastAsia="Arial" w:hAnsi="Arial"/>
          <w:sz w:val="18"/>
        </w:rPr>
      </w:pPr>
      <w:r>
        <w:rPr>
          <w:rFonts w:ascii="Arial" w:eastAsia="Arial" w:hAnsi="Arial"/>
          <w:sz w:val="18"/>
        </w:rPr>
        <w:t>tem for quantification of coronary lesions as well as for prediction of major adverse cardiac events (MACE) in patients undergoing percutaneous coronary interven-tion (PCI) [18, 28–30]. Such measures were taken in or-der to ensure more reliable and comprehensive results.</w:t>
      </w:r>
    </w:p>
    <w:p w:rsidR="00760D48" w:rsidRDefault="00760D48" w:rsidP="00760D48">
      <w:pPr>
        <w:spacing w:line="181" w:lineRule="exact"/>
        <w:rPr>
          <w:rFonts w:ascii="Times New Roman" w:eastAsia="Times New Roman" w:hAnsi="Times New Roman"/>
        </w:rPr>
      </w:pPr>
    </w:p>
    <w:p w:rsidR="00760D48" w:rsidRDefault="00760D48" w:rsidP="00760D48">
      <w:pPr>
        <w:spacing w:line="0" w:lineRule="atLeast"/>
        <w:rPr>
          <w:rFonts w:ascii="Arial" w:eastAsia="Arial" w:hAnsi="Arial"/>
          <w:b/>
          <w:color w:val="4E7598"/>
        </w:rPr>
      </w:pPr>
      <w:r>
        <w:rPr>
          <w:rFonts w:ascii="Arial" w:eastAsia="Arial" w:hAnsi="Arial"/>
          <w:b/>
          <w:color w:val="4E7598"/>
        </w:rPr>
        <w:t>Limitations</w:t>
      </w:r>
    </w:p>
    <w:p w:rsidR="00760D48" w:rsidRDefault="00760D48" w:rsidP="00760D48">
      <w:pPr>
        <w:spacing w:line="17" w:lineRule="exact"/>
        <w:rPr>
          <w:rFonts w:ascii="Times New Roman" w:eastAsia="Times New Roman" w:hAnsi="Times New Roman"/>
        </w:rPr>
      </w:pPr>
    </w:p>
    <w:p w:rsidR="00760D48" w:rsidRDefault="00760D48" w:rsidP="00760D48">
      <w:pPr>
        <w:spacing w:line="266" w:lineRule="auto"/>
        <w:jc w:val="both"/>
        <w:rPr>
          <w:rFonts w:ascii="Arial" w:eastAsia="Arial" w:hAnsi="Arial"/>
        </w:rPr>
      </w:pPr>
      <w:r>
        <w:rPr>
          <w:rFonts w:ascii="Arial" w:eastAsia="Arial" w:hAnsi="Arial"/>
        </w:rPr>
        <w:t>It is a single centered study and was not designed to interpret results based on ethnicity and dietary habits. Selecting a large population with multi-centered study would address such concerns.</w:t>
      </w:r>
    </w:p>
    <w:p w:rsidR="00760D48" w:rsidRDefault="00760D48" w:rsidP="00760D48">
      <w:pPr>
        <w:spacing w:line="190" w:lineRule="exact"/>
        <w:rPr>
          <w:rFonts w:ascii="Times New Roman" w:eastAsia="Times New Roman" w:hAnsi="Times New Roman"/>
        </w:rPr>
      </w:pPr>
    </w:p>
    <w:p w:rsidR="00760D48" w:rsidRDefault="00760D48" w:rsidP="00760D48">
      <w:pPr>
        <w:spacing w:line="0" w:lineRule="atLeast"/>
        <w:ind w:left="1640"/>
        <w:rPr>
          <w:rFonts w:ascii="Arial" w:eastAsia="Arial" w:hAnsi="Arial"/>
          <w:b/>
          <w:color w:val="00547D"/>
          <w:sz w:val="24"/>
        </w:rPr>
      </w:pPr>
      <w:r>
        <w:rPr>
          <w:rFonts w:ascii="Arial" w:eastAsia="Arial" w:hAnsi="Arial"/>
          <w:b/>
          <w:color w:val="00547D"/>
          <w:sz w:val="24"/>
        </w:rPr>
        <w:t>Conclusion</w:t>
      </w:r>
    </w:p>
    <w:p w:rsidR="00760D48" w:rsidRDefault="00760D48" w:rsidP="00760D48">
      <w:pPr>
        <w:spacing w:line="263" w:lineRule="exact"/>
        <w:rPr>
          <w:rFonts w:ascii="Times New Roman" w:eastAsia="Times New Roman" w:hAnsi="Times New Roman"/>
        </w:rPr>
      </w:pPr>
    </w:p>
    <w:p w:rsidR="00760D48" w:rsidRDefault="00760D48" w:rsidP="00760D48">
      <w:pPr>
        <w:spacing w:line="264" w:lineRule="auto"/>
        <w:ind w:firstLine="283"/>
        <w:jc w:val="both"/>
        <w:rPr>
          <w:rFonts w:ascii="Arial" w:eastAsia="Arial" w:hAnsi="Arial"/>
        </w:rPr>
      </w:pPr>
      <w:r>
        <w:rPr>
          <w:rFonts w:ascii="Arial" w:eastAsia="Arial" w:hAnsi="Arial"/>
        </w:rPr>
        <w:t>Serum potassium level is lower in coronary artery disease and is correlated with severity of atheroscle-rosis on coronary angiography. Serum potassium is an independent predictor of adverse outcomes in coronary artery disease patients.</w:t>
      </w:r>
    </w:p>
    <w:p w:rsidR="00760D48" w:rsidRDefault="00760D48" w:rsidP="00760D48">
      <w:pPr>
        <w:spacing w:line="214" w:lineRule="exact"/>
        <w:rPr>
          <w:rFonts w:ascii="Times New Roman" w:eastAsia="Times New Roman" w:hAnsi="Times New Roman"/>
        </w:rPr>
      </w:pPr>
    </w:p>
    <w:p w:rsidR="00760D48" w:rsidRDefault="00760D48" w:rsidP="00760D48">
      <w:pPr>
        <w:spacing w:line="0" w:lineRule="atLeast"/>
        <w:rPr>
          <w:rFonts w:ascii="Arial" w:eastAsia="Arial" w:hAnsi="Arial"/>
          <w:b/>
          <w:color w:val="4E7598"/>
        </w:rPr>
      </w:pPr>
      <w:r>
        <w:rPr>
          <w:rFonts w:ascii="Arial" w:eastAsia="Arial" w:hAnsi="Arial"/>
          <w:b/>
          <w:color w:val="4E7598"/>
        </w:rPr>
        <w:t>Acknowledgement of grant support</w:t>
      </w:r>
    </w:p>
    <w:p w:rsidR="00760D48" w:rsidRDefault="00760D48" w:rsidP="00760D48">
      <w:pPr>
        <w:spacing w:line="17" w:lineRule="exact"/>
        <w:rPr>
          <w:rFonts w:ascii="Times New Roman" w:eastAsia="Times New Roman" w:hAnsi="Times New Roman"/>
        </w:rPr>
      </w:pPr>
    </w:p>
    <w:p w:rsidR="00760D48" w:rsidRDefault="00760D48" w:rsidP="00760D48">
      <w:pPr>
        <w:spacing w:line="268" w:lineRule="auto"/>
        <w:jc w:val="both"/>
        <w:rPr>
          <w:rFonts w:ascii="Arial" w:eastAsia="Arial" w:hAnsi="Arial"/>
        </w:rPr>
      </w:pPr>
      <w:r>
        <w:rPr>
          <w:rFonts w:ascii="Arial" w:eastAsia="Arial" w:hAnsi="Arial"/>
        </w:rPr>
        <w:t>This research did not receive any specific grant from funding agencies in the public, commercial, or not-for-profit sectors.</w:t>
      </w:r>
    </w:p>
    <w:p w:rsidR="00760D48" w:rsidRDefault="00760D48" w:rsidP="00760D48">
      <w:pPr>
        <w:spacing w:line="189" w:lineRule="exact"/>
        <w:rPr>
          <w:rFonts w:ascii="Times New Roman" w:eastAsia="Times New Roman" w:hAnsi="Times New Roman"/>
        </w:rPr>
      </w:pPr>
    </w:p>
    <w:p w:rsidR="00760D48" w:rsidRDefault="00760D48" w:rsidP="00760D48">
      <w:pPr>
        <w:spacing w:line="0" w:lineRule="atLeast"/>
        <w:ind w:left="1200"/>
        <w:rPr>
          <w:rFonts w:ascii="Arial" w:eastAsia="Arial" w:hAnsi="Arial"/>
          <w:b/>
          <w:color w:val="00547D"/>
          <w:sz w:val="24"/>
        </w:rPr>
      </w:pPr>
      <w:r>
        <w:rPr>
          <w:rFonts w:ascii="Arial" w:eastAsia="Arial" w:hAnsi="Arial"/>
          <w:b/>
          <w:color w:val="00547D"/>
          <w:sz w:val="24"/>
        </w:rPr>
        <w:t>Conflict of interest:</w:t>
      </w:r>
    </w:p>
    <w:p w:rsidR="00760D48" w:rsidRDefault="00760D48" w:rsidP="00760D48">
      <w:pPr>
        <w:spacing w:line="263" w:lineRule="exact"/>
        <w:rPr>
          <w:rFonts w:ascii="Times New Roman" w:eastAsia="Times New Roman" w:hAnsi="Times New Roman"/>
        </w:rPr>
      </w:pPr>
    </w:p>
    <w:p w:rsidR="00760D48" w:rsidRDefault="00760D48" w:rsidP="00760D48">
      <w:pPr>
        <w:spacing w:line="0" w:lineRule="atLeast"/>
        <w:rPr>
          <w:rFonts w:ascii="Arial" w:eastAsia="Arial" w:hAnsi="Arial"/>
        </w:rPr>
      </w:pPr>
      <w:r>
        <w:rPr>
          <w:rFonts w:ascii="Arial" w:eastAsia="Arial" w:hAnsi="Arial"/>
        </w:rPr>
        <w:t>None.</w:t>
      </w:r>
    </w:p>
    <w:p w:rsidR="00760D48" w:rsidRDefault="00760D48" w:rsidP="00760D48">
      <w:pPr>
        <w:spacing w:line="240" w:lineRule="exact"/>
        <w:rPr>
          <w:rFonts w:ascii="Times New Roman" w:eastAsia="Times New Roman" w:hAnsi="Times New Roman"/>
        </w:rPr>
      </w:pPr>
    </w:p>
    <w:p w:rsidR="00760D48" w:rsidRDefault="00760D48" w:rsidP="00760D48">
      <w:pPr>
        <w:spacing w:line="0" w:lineRule="atLeast"/>
        <w:ind w:left="1740"/>
        <w:rPr>
          <w:rFonts w:ascii="Arial" w:eastAsia="Arial" w:hAnsi="Arial"/>
          <w:color w:val="36698F"/>
          <w:sz w:val="23"/>
        </w:rPr>
      </w:pPr>
      <w:r>
        <w:rPr>
          <w:rFonts w:ascii="Arial" w:eastAsia="Arial" w:hAnsi="Arial"/>
          <w:color w:val="36698F"/>
          <w:sz w:val="23"/>
        </w:rPr>
        <w:t>References:</w:t>
      </w:r>
    </w:p>
    <w:p w:rsidR="00760D48" w:rsidRDefault="00760D48" w:rsidP="00760D48">
      <w:pPr>
        <w:spacing w:line="27" w:lineRule="exact"/>
        <w:rPr>
          <w:rFonts w:ascii="Times New Roman" w:eastAsia="Times New Roman" w:hAnsi="Times New Roman"/>
        </w:rPr>
      </w:pPr>
    </w:p>
    <w:p w:rsidR="00760D48" w:rsidRDefault="00760D48" w:rsidP="00760D48">
      <w:pPr>
        <w:widowControl/>
        <w:numPr>
          <w:ilvl w:val="0"/>
          <w:numId w:val="4"/>
        </w:numPr>
        <w:tabs>
          <w:tab w:val="left" w:pos="300"/>
        </w:tabs>
        <w:autoSpaceDE/>
        <w:autoSpaceDN/>
        <w:spacing w:line="341" w:lineRule="auto"/>
        <w:ind w:left="300" w:hanging="292"/>
        <w:rPr>
          <w:rFonts w:ascii="Arial" w:eastAsia="Arial" w:hAnsi="Arial"/>
          <w:sz w:val="14"/>
        </w:rPr>
      </w:pPr>
      <w:r>
        <w:rPr>
          <w:rFonts w:ascii="Arial" w:eastAsia="Arial" w:hAnsi="Arial"/>
          <w:sz w:val="14"/>
        </w:rPr>
        <w:t>American Heart Association. Heart disease and stroke statistics: 2005 Update. Dallas, Tex: American Heart Association. 2004.</w:t>
      </w:r>
    </w:p>
    <w:p w:rsidR="00760D48" w:rsidRDefault="00760D48" w:rsidP="00760D48">
      <w:pPr>
        <w:widowControl/>
        <w:numPr>
          <w:ilvl w:val="0"/>
          <w:numId w:val="4"/>
        </w:numPr>
        <w:tabs>
          <w:tab w:val="left" w:pos="300"/>
        </w:tabs>
        <w:autoSpaceDE/>
        <w:autoSpaceDN/>
        <w:spacing w:line="299" w:lineRule="auto"/>
        <w:ind w:left="300" w:hanging="292"/>
        <w:jc w:val="both"/>
        <w:rPr>
          <w:rFonts w:ascii="Arial" w:eastAsia="Arial" w:hAnsi="Arial"/>
          <w:sz w:val="16"/>
        </w:rPr>
      </w:pPr>
      <w:r>
        <w:rPr>
          <w:rFonts w:ascii="Arial" w:eastAsia="Arial" w:hAnsi="Arial"/>
          <w:sz w:val="16"/>
        </w:rPr>
        <w:t xml:space="preserve">Sica DA, Struthers AD, Cushman WC, et al. Importance of po-tassium in cardiovascular disease. J Clin Hypertens (Greenwich). 2002; 4(3): 198–206, doi: </w:t>
      </w:r>
      <w:hyperlink r:id="rId149" w:history="1">
        <w:r>
          <w:rPr>
            <w:rFonts w:ascii="Arial" w:eastAsia="Arial" w:hAnsi="Arial"/>
            <w:color w:val="0000FF"/>
            <w:sz w:val="16"/>
          </w:rPr>
          <w:t>10.1111/j.1524-6175.2002.01728.x</w:t>
        </w:r>
      </w:hyperlink>
      <w:r>
        <w:rPr>
          <w:rFonts w:ascii="Arial" w:eastAsia="Arial" w:hAnsi="Arial"/>
          <w:sz w:val="16"/>
        </w:rPr>
        <w:t xml:space="preserve">, indexed in Pubmed: </w:t>
      </w:r>
      <w:hyperlink r:id="rId150" w:history="1">
        <w:r>
          <w:rPr>
            <w:rFonts w:ascii="Arial" w:eastAsia="Arial" w:hAnsi="Arial"/>
            <w:color w:val="0000FF"/>
            <w:sz w:val="16"/>
          </w:rPr>
          <w:t>12045369</w:t>
        </w:r>
      </w:hyperlink>
      <w:r>
        <w:rPr>
          <w:rFonts w:ascii="Arial" w:eastAsia="Arial" w:hAnsi="Arial"/>
          <w:sz w:val="16"/>
        </w:rPr>
        <w:t>.</w:t>
      </w:r>
    </w:p>
    <w:p w:rsidR="00760D48" w:rsidRDefault="00760D48" w:rsidP="00760D48">
      <w:pPr>
        <w:spacing w:line="3" w:lineRule="exact"/>
        <w:rPr>
          <w:rFonts w:ascii="Arial" w:eastAsia="Arial" w:hAnsi="Arial"/>
          <w:sz w:val="16"/>
        </w:rPr>
      </w:pPr>
    </w:p>
    <w:p w:rsidR="00760D48" w:rsidRDefault="00760D48" w:rsidP="00760D48">
      <w:pPr>
        <w:widowControl/>
        <w:numPr>
          <w:ilvl w:val="0"/>
          <w:numId w:val="4"/>
        </w:numPr>
        <w:tabs>
          <w:tab w:val="left" w:pos="300"/>
        </w:tabs>
        <w:autoSpaceDE/>
        <w:autoSpaceDN/>
        <w:spacing w:line="342" w:lineRule="auto"/>
        <w:ind w:left="300" w:hanging="292"/>
        <w:jc w:val="both"/>
        <w:rPr>
          <w:rFonts w:ascii="Arial" w:eastAsia="Arial" w:hAnsi="Arial"/>
          <w:sz w:val="14"/>
        </w:rPr>
      </w:pPr>
      <w:r>
        <w:rPr>
          <w:rFonts w:ascii="Arial" w:eastAsia="Arial" w:hAnsi="Arial"/>
          <w:sz w:val="14"/>
        </w:rPr>
        <w:t xml:space="preserve">Smith PD, Brett SE, Luykenaar KD, et al. KIR channels function as electrical amplifiers in rat vascular smooth muscle. J Physiol. 2008; 586(4): 1147–1160, doi: </w:t>
      </w:r>
      <w:hyperlink r:id="rId151" w:history="1">
        <w:r>
          <w:rPr>
            <w:rFonts w:ascii="Arial" w:eastAsia="Arial" w:hAnsi="Arial"/>
            <w:color w:val="0000FF"/>
            <w:sz w:val="14"/>
          </w:rPr>
          <w:t>10.1113/jphysiol.2007.145474</w:t>
        </w:r>
      </w:hyperlink>
      <w:r>
        <w:rPr>
          <w:rFonts w:ascii="Arial" w:eastAsia="Arial" w:hAnsi="Arial"/>
          <w:sz w:val="14"/>
        </w:rPr>
        <w:t xml:space="preserve">, indexed in Pubmed: </w:t>
      </w:r>
      <w:hyperlink r:id="rId152" w:history="1">
        <w:r>
          <w:rPr>
            <w:rFonts w:ascii="Arial" w:eastAsia="Arial" w:hAnsi="Arial"/>
            <w:color w:val="0000FF"/>
            <w:sz w:val="14"/>
          </w:rPr>
          <w:t>18063660</w:t>
        </w:r>
      </w:hyperlink>
      <w:r>
        <w:rPr>
          <w:rFonts w:ascii="Arial" w:eastAsia="Arial" w:hAnsi="Arial"/>
          <w:sz w:val="14"/>
        </w:rPr>
        <w:t>.</w:t>
      </w:r>
    </w:p>
    <w:p w:rsidR="00760D48" w:rsidRDefault="00760D48" w:rsidP="00760D48">
      <w:pPr>
        <w:spacing w:line="2" w:lineRule="exact"/>
        <w:rPr>
          <w:rFonts w:ascii="Arial" w:eastAsia="Arial" w:hAnsi="Arial"/>
          <w:sz w:val="14"/>
        </w:rPr>
      </w:pPr>
    </w:p>
    <w:p w:rsidR="00760D48" w:rsidRDefault="00760D48" w:rsidP="00760D48">
      <w:pPr>
        <w:widowControl/>
        <w:numPr>
          <w:ilvl w:val="0"/>
          <w:numId w:val="4"/>
        </w:numPr>
        <w:tabs>
          <w:tab w:val="left" w:pos="300"/>
        </w:tabs>
        <w:autoSpaceDE/>
        <w:autoSpaceDN/>
        <w:spacing w:line="300" w:lineRule="auto"/>
        <w:ind w:left="300" w:hanging="292"/>
        <w:jc w:val="both"/>
        <w:rPr>
          <w:rFonts w:ascii="Arial" w:eastAsia="Arial" w:hAnsi="Arial"/>
          <w:color w:val="0000FF"/>
          <w:sz w:val="16"/>
        </w:rPr>
      </w:pPr>
      <w:r>
        <w:rPr>
          <w:rFonts w:ascii="Arial" w:eastAsia="Arial" w:hAnsi="Arial"/>
          <w:sz w:val="16"/>
        </w:rPr>
        <w:t xml:space="preserve">Jin CZi, Kim HS, Seo EY, et al. Exercise training increases inward-ly rectifying K(+) current and augments K(+)-mediated vaso-dilatation in deep femoral artery of rats. Cardiovasc Res. 2011; 91(1): 142–150, doi: </w:t>
      </w:r>
      <w:hyperlink r:id="rId153" w:history="1">
        <w:r>
          <w:rPr>
            <w:rFonts w:ascii="Arial" w:eastAsia="Arial" w:hAnsi="Arial"/>
            <w:color w:val="0000FF"/>
            <w:sz w:val="16"/>
          </w:rPr>
          <w:t>10.1093/cvr/cvr050</w:t>
        </w:r>
      </w:hyperlink>
      <w:r>
        <w:rPr>
          <w:rFonts w:ascii="Arial" w:eastAsia="Arial" w:hAnsi="Arial"/>
          <w:sz w:val="16"/>
        </w:rPr>
        <w:t xml:space="preserve">, indexed in Pubmed: </w:t>
      </w:r>
      <w:hyperlink r:id="rId154" w:history="1">
        <w:r>
          <w:rPr>
            <w:rFonts w:ascii="Arial" w:eastAsia="Arial" w:hAnsi="Arial"/>
            <w:color w:val="0000FF"/>
            <w:sz w:val="16"/>
          </w:rPr>
          <w:t>21349874</w:t>
        </w:r>
      </w:hyperlink>
      <w:r>
        <w:rPr>
          <w:rFonts w:ascii="Arial" w:eastAsia="Arial" w:hAnsi="Arial"/>
          <w:color w:val="000000"/>
          <w:sz w:val="16"/>
        </w:rPr>
        <w:t>.</w:t>
      </w:r>
    </w:p>
    <w:p w:rsidR="00760D48" w:rsidRDefault="00760D48" w:rsidP="00760D48">
      <w:pPr>
        <w:widowControl/>
        <w:numPr>
          <w:ilvl w:val="0"/>
          <w:numId w:val="4"/>
        </w:numPr>
        <w:tabs>
          <w:tab w:val="left" w:pos="300"/>
        </w:tabs>
        <w:autoSpaceDE/>
        <w:autoSpaceDN/>
        <w:spacing w:line="320" w:lineRule="auto"/>
        <w:ind w:left="300" w:hanging="292"/>
        <w:jc w:val="both"/>
        <w:rPr>
          <w:rFonts w:ascii="Arial" w:eastAsia="Arial" w:hAnsi="Arial"/>
          <w:color w:val="0000FF"/>
          <w:sz w:val="15"/>
        </w:rPr>
      </w:pPr>
      <w:r>
        <w:rPr>
          <w:rFonts w:ascii="Arial" w:eastAsia="Arial" w:hAnsi="Arial"/>
          <w:sz w:val="15"/>
        </w:rPr>
        <w:t xml:space="preserve">Haddy FJ, Vanhoutte PM, Feletou M. Role of potassium in reg-ulating blood flow and blood pressure. Am J Physiol Regul In-tegr Comp Physiol. 2006; 290(3): R546–R552, doi: </w:t>
      </w:r>
      <w:hyperlink r:id="rId155" w:history="1">
        <w:r>
          <w:rPr>
            <w:rFonts w:ascii="Arial" w:eastAsia="Arial" w:hAnsi="Arial"/>
            <w:color w:val="0000FF"/>
            <w:sz w:val="15"/>
          </w:rPr>
          <w:t>10.1152/</w:t>
        </w:r>
      </w:hyperlink>
      <w:r>
        <w:rPr>
          <w:rFonts w:ascii="Arial" w:eastAsia="Arial" w:hAnsi="Arial"/>
          <w:sz w:val="15"/>
        </w:rPr>
        <w:t xml:space="preserve"> </w:t>
      </w:r>
      <w:hyperlink r:id="rId156" w:history="1">
        <w:r>
          <w:rPr>
            <w:rFonts w:ascii="Arial" w:eastAsia="Arial" w:hAnsi="Arial"/>
            <w:color w:val="0000FF"/>
            <w:sz w:val="15"/>
          </w:rPr>
          <w:t>ajpregu.00491.2005</w:t>
        </w:r>
      </w:hyperlink>
      <w:r>
        <w:rPr>
          <w:rFonts w:ascii="Arial" w:eastAsia="Arial" w:hAnsi="Arial"/>
          <w:color w:val="000000"/>
          <w:sz w:val="15"/>
        </w:rPr>
        <w:t>,</w:t>
      </w:r>
      <w:r>
        <w:rPr>
          <w:rFonts w:ascii="Arial" w:eastAsia="Arial" w:hAnsi="Arial"/>
          <w:color w:val="0000FF"/>
          <w:sz w:val="15"/>
        </w:rPr>
        <w:t xml:space="preserve"> </w:t>
      </w:r>
      <w:r>
        <w:rPr>
          <w:rFonts w:ascii="Arial" w:eastAsia="Arial" w:hAnsi="Arial"/>
          <w:color w:val="000000"/>
          <w:sz w:val="15"/>
        </w:rPr>
        <w:t>indexed in Pubmed:</w:t>
      </w:r>
      <w:r>
        <w:rPr>
          <w:rFonts w:ascii="Arial" w:eastAsia="Arial" w:hAnsi="Arial"/>
          <w:color w:val="0000FF"/>
          <w:sz w:val="15"/>
        </w:rPr>
        <w:t xml:space="preserve"> </w:t>
      </w:r>
      <w:hyperlink r:id="rId157" w:history="1">
        <w:r>
          <w:rPr>
            <w:rFonts w:ascii="Arial" w:eastAsia="Arial" w:hAnsi="Arial"/>
            <w:color w:val="0000FF"/>
            <w:sz w:val="15"/>
          </w:rPr>
          <w:t>16467502</w:t>
        </w:r>
      </w:hyperlink>
      <w:r>
        <w:rPr>
          <w:rFonts w:ascii="Arial" w:eastAsia="Arial" w:hAnsi="Arial"/>
          <w:color w:val="000000"/>
          <w:sz w:val="15"/>
        </w:rPr>
        <w:t>.</w:t>
      </w:r>
    </w:p>
    <w:p w:rsidR="00760D48" w:rsidRDefault="00760D48" w:rsidP="00760D48">
      <w:pPr>
        <w:widowControl/>
        <w:numPr>
          <w:ilvl w:val="0"/>
          <w:numId w:val="4"/>
        </w:numPr>
        <w:tabs>
          <w:tab w:val="left" w:pos="300"/>
        </w:tabs>
        <w:autoSpaceDE/>
        <w:autoSpaceDN/>
        <w:spacing w:line="299" w:lineRule="auto"/>
        <w:ind w:left="300" w:hanging="292"/>
        <w:jc w:val="both"/>
        <w:rPr>
          <w:rFonts w:ascii="Arial" w:eastAsia="Arial" w:hAnsi="Arial"/>
          <w:sz w:val="16"/>
        </w:rPr>
      </w:pPr>
      <w:r>
        <w:rPr>
          <w:rFonts w:ascii="Arial" w:eastAsia="Arial" w:hAnsi="Arial"/>
          <w:sz w:val="16"/>
        </w:rPr>
        <w:t xml:space="preserve">Seo EY, Kim HJ, Zhao ZH, et al. Low K. current in arterial myocytes with impaired K-vasodilation and its recovery by exercise in hypertensive rats. Pflugers Arch. 2014; 466(11): 2101–2111, doi: </w:t>
      </w:r>
      <w:hyperlink r:id="rId158" w:history="1">
        <w:r>
          <w:rPr>
            <w:rFonts w:ascii="Arial" w:eastAsia="Arial" w:hAnsi="Arial"/>
            <w:color w:val="0000FF"/>
            <w:sz w:val="16"/>
          </w:rPr>
          <w:t>10.1007/s00424-014-1473-7</w:t>
        </w:r>
      </w:hyperlink>
      <w:r>
        <w:rPr>
          <w:rFonts w:ascii="Arial" w:eastAsia="Arial" w:hAnsi="Arial"/>
          <w:sz w:val="16"/>
        </w:rPr>
        <w:t xml:space="preserve">, indexed in Pu-bmed: </w:t>
      </w:r>
      <w:hyperlink r:id="rId159" w:history="1">
        <w:r>
          <w:rPr>
            <w:rFonts w:ascii="Arial" w:eastAsia="Arial" w:hAnsi="Arial"/>
            <w:color w:val="0000FF"/>
            <w:sz w:val="16"/>
          </w:rPr>
          <w:t>24557713</w:t>
        </w:r>
      </w:hyperlink>
      <w:r>
        <w:rPr>
          <w:rFonts w:ascii="Arial" w:eastAsia="Arial" w:hAnsi="Arial"/>
          <w:sz w:val="16"/>
        </w:rPr>
        <w:t>.</w:t>
      </w:r>
    </w:p>
    <w:p w:rsidR="00760D48" w:rsidRDefault="00760D48" w:rsidP="00760D48">
      <w:pPr>
        <w:spacing w:line="2" w:lineRule="exact"/>
        <w:rPr>
          <w:rFonts w:ascii="Arial" w:eastAsia="Arial" w:hAnsi="Arial"/>
          <w:sz w:val="16"/>
        </w:rPr>
      </w:pPr>
    </w:p>
    <w:p w:rsidR="00760D48" w:rsidRDefault="00760D48" w:rsidP="00760D48">
      <w:pPr>
        <w:widowControl/>
        <w:numPr>
          <w:ilvl w:val="0"/>
          <w:numId w:val="4"/>
        </w:numPr>
        <w:tabs>
          <w:tab w:val="left" w:pos="300"/>
        </w:tabs>
        <w:autoSpaceDE/>
        <w:autoSpaceDN/>
        <w:spacing w:line="399" w:lineRule="auto"/>
        <w:ind w:left="300" w:hanging="292"/>
        <w:jc w:val="both"/>
        <w:rPr>
          <w:rFonts w:ascii="Arial" w:eastAsia="Arial" w:hAnsi="Arial"/>
          <w:sz w:val="14"/>
        </w:rPr>
      </w:pPr>
      <w:r>
        <w:rPr>
          <w:rFonts w:ascii="Arial" w:eastAsia="Arial" w:hAnsi="Arial"/>
          <w:sz w:val="14"/>
        </w:rPr>
        <w:t>Young DB, Lin H, McCabe RD. Potassium’s cardiovascular pro-tective mechanisms. Am J Physiol. 1995; 268(4 Pt 2): R825–</w:t>
      </w:r>
    </w:p>
    <w:p w:rsidR="00760D48" w:rsidRDefault="00760D48" w:rsidP="00760D48">
      <w:pPr>
        <w:tabs>
          <w:tab w:val="left" w:pos="300"/>
        </w:tabs>
        <w:spacing w:line="399" w:lineRule="auto"/>
        <w:ind w:left="300" w:hanging="292"/>
        <w:jc w:val="both"/>
        <w:rPr>
          <w:rFonts w:ascii="Arial" w:eastAsia="Arial" w:hAnsi="Arial"/>
          <w:sz w:val="14"/>
        </w:rPr>
        <w:sectPr w:rsidR="00760D48">
          <w:type w:val="continuous"/>
          <w:pgSz w:w="11620" w:h="16441"/>
          <w:pgMar w:top="918" w:right="962" w:bottom="144" w:left="1300" w:header="0" w:footer="0" w:gutter="0"/>
          <w:cols w:num="2" w:space="0" w:equalWidth="0">
            <w:col w:w="4460" w:space="440"/>
            <w:col w:w="4460"/>
          </w:cols>
          <w:docGrid w:linePitch="360"/>
        </w:sectPr>
      </w:pPr>
    </w:p>
    <w:p w:rsidR="00760D48" w:rsidRDefault="00760D48" w:rsidP="00760D48">
      <w:pPr>
        <w:spacing w:line="200" w:lineRule="exact"/>
        <w:rPr>
          <w:rFonts w:ascii="Arial" w:eastAsia="Arial" w:hAnsi="Arial"/>
          <w:sz w:val="16"/>
        </w:rPr>
      </w:pPr>
    </w:p>
    <w:p w:rsidR="00760D48" w:rsidRDefault="00760D48" w:rsidP="00760D48">
      <w:pPr>
        <w:spacing w:line="316" w:lineRule="exact"/>
        <w:rPr>
          <w:rFonts w:ascii="Arial" w:eastAsia="Arial" w:hAnsi="Arial"/>
          <w:sz w:val="16"/>
        </w:rPr>
      </w:pPr>
    </w:p>
    <w:p w:rsidR="00760D48" w:rsidRDefault="00760D48" w:rsidP="00760D48">
      <w:pPr>
        <w:tabs>
          <w:tab w:val="left" w:pos="9160"/>
        </w:tabs>
        <w:spacing w:line="0" w:lineRule="atLeast"/>
        <w:ind w:left="3280"/>
        <w:rPr>
          <w:rFonts w:ascii="Arial" w:eastAsia="Arial" w:hAnsi="Arial"/>
          <w:sz w:val="16"/>
        </w:rPr>
      </w:pPr>
      <w:r>
        <w:rPr>
          <w:rFonts w:ascii="Arial" w:eastAsia="Arial" w:hAnsi="Arial"/>
          <w:sz w:val="16"/>
        </w:rPr>
        <w:t>www.journals.viamedica.pl/acta_angiologica</w:t>
      </w:r>
      <w:r>
        <w:rPr>
          <w:rFonts w:ascii="Times New Roman" w:eastAsia="Times New Roman" w:hAnsi="Times New Roman"/>
        </w:rPr>
        <w:tab/>
      </w:r>
      <w:r>
        <w:rPr>
          <w:rFonts w:ascii="Arial" w:eastAsia="Arial" w:hAnsi="Arial"/>
          <w:sz w:val="16"/>
        </w:rPr>
        <w:t>63</w:t>
      </w:r>
    </w:p>
    <w:p w:rsidR="00760D48" w:rsidRDefault="00760D48" w:rsidP="00760D48">
      <w:pPr>
        <w:tabs>
          <w:tab w:val="left" w:pos="9160"/>
        </w:tabs>
        <w:spacing w:line="0" w:lineRule="atLeast"/>
        <w:ind w:left="3280"/>
        <w:rPr>
          <w:rFonts w:ascii="Arial" w:eastAsia="Arial" w:hAnsi="Arial"/>
          <w:sz w:val="16"/>
        </w:rPr>
        <w:sectPr w:rsidR="00760D48">
          <w:type w:val="continuous"/>
          <w:pgSz w:w="11620" w:h="16441"/>
          <w:pgMar w:top="918" w:right="962" w:bottom="144" w:left="1300" w:header="0" w:footer="0" w:gutter="0"/>
          <w:cols w:space="0" w:equalWidth="0">
            <w:col w:w="9360"/>
          </w:cols>
          <w:docGrid w:linePitch="360"/>
        </w:sectPr>
      </w:pPr>
    </w:p>
    <w:p w:rsidR="00760D48" w:rsidRDefault="00760D48" w:rsidP="00760D48">
      <w:pPr>
        <w:spacing w:line="107" w:lineRule="exact"/>
        <w:rPr>
          <w:rFonts w:ascii="Times New Roman" w:eastAsia="Times New Roman" w:hAnsi="Times New Roman"/>
        </w:rPr>
      </w:pPr>
    </w:p>
    <w:p w:rsidR="00760D48" w:rsidRDefault="00760D48" w:rsidP="00760D48">
      <w:pPr>
        <w:spacing w:line="0" w:lineRule="atLeast"/>
        <w:rPr>
          <w:rFonts w:ascii="Arial" w:eastAsia="Arial" w:hAnsi="Arial"/>
          <w:sz w:val="15"/>
        </w:rPr>
      </w:pPr>
      <w:r>
        <w:rPr>
          <w:rFonts w:ascii="Arial" w:eastAsia="Arial" w:hAnsi="Arial"/>
          <w:sz w:val="15"/>
        </w:rPr>
        <w:t>Acta Angiol, 2020, Vol. 26, No. 2</w:t>
      </w:r>
    </w:p>
    <w:p w:rsidR="00760D48" w:rsidRDefault="001D2EC7" w:rsidP="00760D48">
      <w:pPr>
        <w:spacing w:line="20" w:lineRule="exact"/>
        <w:rPr>
          <w:rFonts w:ascii="Times New Roman" w:eastAsia="Times New Roman" w:hAnsi="Times New Roman"/>
        </w:rPr>
      </w:pPr>
      <w:r>
        <w:rPr>
          <w:rFonts w:ascii="Arial" w:eastAsia="Arial" w:hAnsi="Arial"/>
          <w:sz w:val="15"/>
        </w:rPr>
        <w:pict>
          <v:line id="_x0000_s1097" style="position:absolute;z-index:-251584512" from=".2pt,4.95pt" to="467.9pt,4.95pt" o:userdrawn="t" strokecolor="#6d6e71" strokeweight=".5pt"/>
        </w:pict>
      </w:r>
    </w:p>
    <w:p w:rsidR="00760D48" w:rsidRDefault="00760D48" w:rsidP="00760D48">
      <w:pPr>
        <w:spacing w:line="20" w:lineRule="exact"/>
        <w:rPr>
          <w:rFonts w:ascii="Times New Roman" w:eastAsia="Times New Roman" w:hAnsi="Times New Roman"/>
        </w:rPr>
        <w:sectPr w:rsidR="00760D48">
          <w:pgSz w:w="11620" w:h="16548"/>
          <w:pgMar w:top="919" w:right="1302" w:bottom="0" w:left="960" w:header="0" w:footer="0" w:gutter="0"/>
          <w:cols w:space="0" w:equalWidth="0">
            <w:col w:w="9360"/>
          </w:cols>
          <w:docGrid w:linePitch="360"/>
        </w:sectPr>
      </w:pPr>
    </w:p>
    <w:p w:rsidR="00760D48" w:rsidRDefault="00760D48" w:rsidP="00760D48">
      <w:pPr>
        <w:spacing w:line="394" w:lineRule="exact"/>
        <w:rPr>
          <w:rFonts w:ascii="Times New Roman" w:eastAsia="Times New Roman" w:hAnsi="Times New Roman"/>
        </w:rPr>
      </w:pPr>
    </w:p>
    <w:p w:rsidR="00760D48" w:rsidRDefault="00760D48" w:rsidP="00760D48">
      <w:pPr>
        <w:spacing w:line="0" w:lineRule="atLeast"/>
        <w:ind w:left="280"/>
        <w:rPr>
          <w:rFonts w:ascii="Arial" w:eastAsia="Arial" w:hAnsi="Arial"/>
          <w:sz w:val="15"/>
        </w:rPr>
      </w:pPr>
      <w:r>
        <w:rPr>
          <w:rFonts w:ascii="Arial" w:eastAsia="Arial" w:hAnsi="Arial"/>
          <w:sz w:val="15"/>
        </w:rPr>
        <w:t xml:space="preserve">R837, doi: </w:t>
      </w:r>
      <w:hyperlink r:id="rId160" w:history="1">
        <w:r>
          <w:rPr>
            <w:rFonts w:ascii="Arial" w:eastAsia="Arial" w:hAnsi="Arial"/>
            <w:color w:val="0000FF"/>
            <w:sz w:val="15"/>
          </w:rPr>
          <w:t>10.1152/ajpregu.1995.268.4.R825</w:t>
        </w:r>
      </w:hyperlink>
      <w:r>
        <w:rPr>
          <w:rFonts w:ascii="Arial" w:eastAsia="Arial" w:hAnsi="Arial"/>
          <w:sz w:val="15"/>
        </w:rPr>
        <w:t>, indexed in Pu-</w:t>
      </w:r>
    </w:p>
    <w:p w:rsidR="00760D48" w:rsidRDefault="00760D48" w:rsidP="00760D48">
      <w:pPr>
        <w:spacing w:line="56" w:lineRule="exact"/>
        <w:rPr>
          <w:rFonts w:ascii="Times New Roman" w:eastAsia="Times New Roman" w:hAnsi="Times New Roman"/>
        </w:rPr>
      </w:pPr>
    </w:p>
    <w:p w:rsidR="00760D48" w:rsidRDefault="00760D48" w:rsidP="00760D48">
      <w:pPr>
        <w:spacing w:line="0" w:lineRule="atLeast"/>
        <w:ind w:left="280"/>
        <w:rPr>
          <w:rFonts w:ascii="Arial" w:eastAsia="Arial" w:hAnsi="Arial"/>
          <w:sz w:val="16"/>
        </w:rPr>
      </w:pPr>
      <w:r>
        <w:rPr>
          <w:rFonts w:ascii="Arial" w:eastAsia="Arial" w:hAnsi="Arial"/>
          <w:sz w:val="16"/>
        </w:rPr>
        <w:t xml:space="preserve">bmed: </w:t>
      </w:r>
      <w:hyperlink r:id="rId161" w:history="1">
        <w:r>
          <w:rPr>
            <w:rFonts w:ascii="Arial" w:eastAsia="Arial" w:hAnsi="Arial"/>
            <w:color w:val="0000FF"/>
            <w:sz w:val="16"/>
          </w:rPr>
          <w:t>7733391</w:t>
        </w:r>
      </w:hyperlink>
      <w:r>
        <w:rPr>
          <w:rFonts w:ascii="Arial" w:eastAsia="Arial" w:hAnsi="Arial"/>
          <w:sz w:val="16"/>
        </w:rPr>
        <w:t>.</w:t>
      </w:r>
    </w:p>
    <w:p w:rsidR="00760D48" w:rsidRDefault="00760D48" w:rsidP="00760D48">
      <w:pPr>
        <w:spacing w:line="44" w:lineRule="exact"/>
        <w:rPr>
          <w:rFonts w:ascii="Times New Roman" w:eastAsia="Times New Roman" w:hAnsi="Times New Roman"/>
        </w:rPr>
      </w:pPr>
    </w:p>
    <w:p w:rsidR="00760D48" w:rsidRDefault="00760D48" w:rsidP="00760D48">
      <w:pPr>
        <w:widowControl/>
        <w:numPr>
          <w:ilvl w:val="0"/>
          <w:numId w:val="5"/>
        </w:numPr>
        <w:tabs>
          <w:tab w:val="left" w:pos="280"/>
        </w:tabs>
        <w:autoSpaceDE/>
        <w:autoSpaceDN/>
        <w:spacing w:line="339" w:lineRule="auto"/>
        <w:ind w:left="280" w:hanging="276"/>
        <w:jc w:val="both"/>
        <w:rPr>
          <w:rFonts w:ascii="Arial" w:eastAsia="Arial" w:hAnsi="Arial"/>
          <w:sz w:val="14"/>
        </w:rPr>
      </w:pPr>
      <w:r>
        <w:rPr>
          <w:rFonts w:ascii="Arial" w:eastAsia="Arial" w:hAnsi="Arial"/>
          <w:sz w:val="14"/>
        </w:rPr>
        <w:t xml:space="preserve">Ando K, Matsui H, Fujita M, et al. Protective effect of dietary potassium against cardiovascular damage in salt-sensitive hyper-tension: possible role of its antioxidant action. Curr Vasc Phar-macol. 2010; 8(1): 59–63, doi: </w:t>
      </w:r>
      <w:hyperlink r:id="rId162" w:history="1">
        <w:r>
          <w:rPr>
            <w:rFonts w:ascii="Arial" w:eastAsia="Arial" w:hAnsi="Arial"/>
            <w:color w:val="0000FF"/>
            <w:sz w:val="14"/>
          </w:rPr>
          <w:t>10.2174/157016110790226561</w:t>
        </w:r>
      </w:hyperlink>
      <w:r>
        <w:rPr>
          <w:rFonts w:ascii="Arial" w:eastAsia="Arial" w:hAnsi="Arial"/>
          <w:sz w:val="14"/>
        </w:rPr>
        <w:t xml:space="preserve">, indexed in Pubmed: </w:t>
      </w:r>
      <w:hyperlink r:id="rId163" w:history="1">
        <w:r>
          <w:rPr>
            <w:rFonts w:ascii="Arial" w:eastAsia="Arial" w:hAnsi="Arial"/>
            <w:color w:val="0000FF"/>
            <w:sz w:val="14"/>
          </w:rPr>
          <w:t>19485915</w:t>
        </w:r>
      </w:hyperlink>
      <w:r>
        <w:rPr>
          <w:rFonts w:ascii="Arial" w:eastAsia="Arial" w:hAnsi="Arial"/>
          <w:sz w:val="14"/>
        </w:rPr>
        <w:t>.</w:t>
      </w:r>
    </w:p>
    <w:p w:rsidR="00760D48" w:rsidRDefault="00760D48" w:rsidP="00760D48">
      <w:pPr>
        <w:spacing w:line="2" w:lineRule="exact"/>
        <w:rPr>
          <w:rFonts w:ascii="Arial" w:eastAsia="Arial" w:hAnsi="Arial"/>
          <w:sz w:val="14"/>
        </w:rPr>
      </w:pPr>
    </w:p>
    <w:p w:rsidR="00760D48" w:rsidRDefault="00760D48" w:rsidP="00760D48">
      <w:pPr>
        <w:widowControl/>
        <w:numPr>
          <w:ilvl w:val="0"/>
          <w:numId w:val="5"/>
        </w:numPr>
        <w:tabs>
          <w:tab w:val="left" w:pos="280"/>
        </w:tabs>
        <w:autoSpaceDE/>
        <w:autoSpaceDN/>
        <w:spacing w:line="297" w:lineRule="auto"/>
        <w:ind w:left="280" w:hanging="276"/>
        <w:jc w:val="both"/>
        <w:rPr>
          <w:rFonts w:ascii="Arial" w:eastAsia="Arial" w:hAnsi="Arial"/>
          <w:sz w:val="16"/>
        </w:rPr>
      </w:pPr>
      <w:r>
        <w:rPr>
          <w:rFonts w:ascii="Arial" w:eastAsia="Arial" w:hAnsi="Arial"/>
          <w:sz w:val="16"/>
        </w:rPr>
        <w:t xml:space="preserve">Tobian L, Jahner TM, Johnson MA. High K diets markedly reduce atherosclerotic cholesterol ester deposition in aortas of rats with hypercholesterolemia and hypertension. Am J Hypertens. 1990; 3(2): 133–135, doi: </w:t>
      </w:r>
      <w:hyperlink r:id="rId164" w:history="1">
        <w:r>
          <w:rPr>
            <w:rFonts w:ascii="Arial" w:eastAsia="Arial" w:hAnsi="Arial"/>
            <w:color w:val="0000FF"/>
            <w:sz w:val="16"/>
          </w:rPr>
          <w:t>10.1093/ajh/3.2.133</w:t>
        </w:r>
      </w:hyperlink>
      <w:r>
        <w:rPr>
          <w:rFonts w:ascii="Arial" w:eastAsia="Arial" w:hAnsi="Arial"/>
          <w:sz w:val="16"/>
        </w:rPr>
        <w:t xml:space="preserve">, indexed in Pu-bmed: </w:t>
      </w:r>
      <w:hyperlink r:id="rId165" w:history="1">
        <w:r>
          <w:rPr>
            <w:rFonts w:ascii="Arial" w:eastAsia="Arial" w:hAnsi="Arial"/>
            <w:color w:val="0000FF"/>
            <w:sz w:val="16"/>
          </w:rPr>
          <w:t>2306340</w:t>
        </w:r>
      </w:hyperlink>
      <w:r>
        <w:rPr>
          <w:rFonts w:ascii="Arial" w:eastAsia="Arial" w:hAnsi="Arial"/>
          <w:sz w:val="16"/>
        </w:rPr>
        <w:t>.</w:t>
      </w:r>
    </w:p>
    <w:p w:rsidR="00760D48" w:rsidRDefault="00760D48" w:rsidP="00760D48">
      <w:pPr>
        <w:spacing w:line="1" w:lineRule="exact"/>
        <w:rPr>
          <w:rFonts w:ascii="Arial" w:eastAsia="Arial" w:hAnsi="Arial"/>
          <w:sz w:val="16"/>
        </w:rPr>
      </w:pPr>
    </w:p>
    <w:p w:rsidR="00760D48" w:rsidRDefault="00760D48" w:rsidP="00760D48">
      <w:pPr>
        <w:widowControl/>
        <w:numPr>
          <w:ilvl w:val="0"/>
          <w:numId w:val="5"/>
        </w:numPr>
        <w:tabs>
          <w:tab w:val="left" w:pos="280"/>
        </w:tabs>
        <w:autoSpaceDE/>
        <w:autoSpaceDN/>
        <w:spacing w:line="339" w:lineRule="auto"/>
        <w:ind w:left="280" w:hanging="276"/>
        <w:jc w:val="both"/>
        <w:rPr>
          <w:rFonts w:ascii="Arial" w:eastAsia="Arial" w:hAnsi="Arial"/>
          <w:sz w:val="14"/>
        </w:rPr>
      </w:pPr>
      <w:r>
        <w:rPr>
          <w:rFonts w:ascii="Arial" w:eastAsia="Arial" w:hAnsi="Arial"/>
          <w:sz w:val="14"/>
        </w:rPr>
        <w:t xml:space="preserve">Zhang Y, Zhu CG, Guo YL, et al. Higher fibrinogen level is inde-pendently linked with the presence and severity of new-onset coronary atherosclerosis among Han Chinese population. PLoS One. 2014; 9(11): e113460, doi: </w:t>
      </w:r>
      <w:hyperlink r:id="rId166" w:history="1">
        <w:r>
          <w:rPr>
            <w:rFonts w:ascii="Arial" w:eastAsia="Arial" w:hAnsi="Arial"/>
            <w:color w:val="0000FF"/>
            <w:sz w:val="14"/>
          </w:rPr>
          <w:t>10.1371/journal.pone.0113460</w:t>
        </w:r>
      </w:hyperlink>
      <w:r>
        <w:rPr>
          <w:rFonts w:ascii="Arial" w:eastAsia="Arial" w:hAnsi="Arial"/>
          <w:sz w:val="14"/>
        </w:rPr>
        <w:t xml:space="preserve">, indexed in Pubmed: </w:t>
      </w:r>
      <w:hyperlink r:id="rId167" w:history="1">
        <w:r>
          <w:rPr>
            <w:rFonts w:ascii="Arial" w:eastAsia="Arial" w:hAnsi="Arial"/>
            <w:color w:val="0000FF"/>
            <w:sz w:val="14"/>
          </w:rPr>
          <w:t>25426943</w:t>
        </w:r>
      </w:hyperlink>
      <w:r>
        <w:rPr>
          <w:rFonts w:ascii="Arial" w:eastAsia="Arial" w:hAnsi="Arial"/>
          <w:sz w:val="14"/>
        </w:rPr>
        <w:t>.</w:t>
      </w:r>
    </w:p>
    <w:p w:rsidR="00760D48" w:rsidRDefault="00760D48" w:rsidP="00760D48">
      <w:pPr>
        <w:spacing w:line="2" w:lineRule="exact"/>
        <w:rPr>
          <w:rFonts w:ascii="Arial" w:eastAsia="Arial" w:hAnsi="Arial"/>
          <w:sz w:val="14"/>
        </w:rPr>
      </w:pPr>
    </w:p>
    <w:p w:rsidR="00760D48" w:rsidRDefault="00760D48" w:rsidP="00760D48">
      <w:pPr>
        <w:widowControl/>
        <w:numPr>
          <w:ilvl w:val="0"/>
          <w:numId w:val="5"/>
        </w:numPr>
        <w:tabs>
          <w:tab w:val="left" w:pos="280"/>
        </w:tabs>
        <w:autoSpaceDE/>
        <w:autoSpaceDN/>
        <w:spacing w:line="366" w:lineRule="auto"/>
        <w:ind w:left="280" w:hanging="276"/>
        <w:jc w:val="both"/>
        <w:rPr>
          <w:rFonts w:ascii="Arial" w:eastAsia="Arial" w:hAnsi="Arial"/>
          <w:sz w:val="13"/>
        </w:rPr>
      </w:pPr>
      <w:r>
        <w:rPr>
          <w:rFonts w:ascii="Arial" w:eastAsia="Arial" w:hAnsi="Arial"/>
          <w:sz w:val="13"/>
        </w:rPr>
        <w:t>Cavusoglu E, Chopra V, Gupta A. Relation of baseline serum potas-sium levels to angiographic findings in patients with known or sus-pected coronary artery disease. Am J Hypertens. 2009; 22: 754–762.</w:t>
      </w:r>
    </w:p>
    <w:p w:rsidR="00760D48" w:rsidRDefault="00760D48" w:rsidP="00760D48">
      <w:pPr>
        <w:widowControl/>
        <w:numPr>
          <w:ilvl w:val="0"/>
          <w:numId w:val="5"/>
        </w:numPr>
        <w:tabs>
          <w:tab w:val="left" w:pos="280"/>
        </w:tabs>
        <w:autoSpaceDE/>
        <w:autoSpaceDN/>
        <w:spacing w:line="297" w:lineRule="auto"/>
        <w:ind w:left="280" w:hanging="276"/>
        <w:jc w:val="both"/>
        <w:rPr>
          <w:rFonts w:ascii="Arial" w:eastAsia="Arial" w:hAnsi="Arial"/>
          <w:sz w:val="16"/>
        </w:rPr>
      </w:pPr>
      <w:r>
        <w:rPr>
          <w:rFonts w:ascii="Arial" w:eastAsia="Arial" w:hAnsi="Arial"/>
          <w:sz w:val="16"/>
        </w:rPr>
        <w:t>Guang Xian Zhao, Xiang Lan Jin, Ji Long Kang, Chun Zi Jin. Se-rum potassium levels are associated with coronary artery lesion severity in coronary artery disease. Int J Clin Exp Med. 2016; 9(2): 3705–3710.</w:t>
      </w:r>
    </w:p>
    <w:p w:rsidR="00760D48" w:rsidRDefault="00760D48" w:rsidP="00760D48">
      <w:pPr>
        <w:spacing w:line="1" w:lineRule="exact"/>
        <w:rPr>
          <w:rFonts w:ascii="Arial" w:eastAsia="Arial" w:hAnsi="Arial"/>
          <w:sz w:val="16"/>
        </w:rPr>
      </w:pPr>
    </w:p>
    <w:p w:rsidR="00760D48" w:rsidRDefault="00760D48" w:rsidP="00760D48">
      <w:pPr>
        <w:widowControl/>
        <w:numPr>
          <w:ilvl w:val="0"/>
          <w:numId w:val="5"/>
        </w:numPr>
        <w:tabs>
          <w:tab w:val="left" w:pos="280"/>
        </w:tabs>
        <w:autoSpaceDE/>
        <w:autoSpaceDN/>
        <w:spacing w:line="317" w:lineRule="auto"/>
        <w:ind w:left="280" w:hanging="276"/>
        <w:jc w:val="both"/>
        <w:rPr>
          <w:rFonts w:ascii="Arial" w:eastAsia="Arial" w:hAnsi="Arial"/>
          <w:color w:val="0000FF"/>
          <w:sz w:val="15"/>
        </w:rPr>
      </w:pPr>
      <w:r>
        <w:rPr>
          <w:rFonts w:ascii="Arial" w:eastAsia="Arial" w:hAnsi="Arial"/>
          <w:sz w:val="15"/>
        </w:rPr>
        <w:t xml:space="preserve">Thygesen K, Alpert JS, Jaffe AS, et al. Joint ESC/ACCF/AHA/ WHF Task Force for the Universal Definition of Myocardial Infarction. Third universal definition of myocardial infarction. Circulation. 2012; 126(16): 2020–2035, doi: </w:t>
      </w:r>
      <w:hyperlink r:id="rId168" w:history="1">
        <w:r>
          <w:rPr>
            <w:rFonts w:ascii="Arial" w:eastAsia="Arial" w:hAnsi="Arial"/>
            <w:color w:val="0000FF"/>
            <w:sz w:val="15"/>
          </w:rPr>
          <w:t>10.1161/CIR.</w:t>
        </w:r>
      </w:hyperlink>
      <w:r>
        <w:rPr>
          <w:rFonts w:ascii="Arial" w:eastAsia="Arial" w:hAnsi="Arial"/>
          <w:sz w:val="15"/>
        </w:rPr>
        <w:t xml:space="preserve"> </w:t>
      </w:r>
      <w:hyperlink r:id="rId169" w:history="1">
        <w:r>
          <w:rPr>
            <w:rFonts w:ascii="Arial" w:eastAsia="Arial" w:hAnsi="Arial"/>
            <w:color w:val="0000FF"/>
            <w:sz w:val="15"/>
          </w:rPr>
          <w:t>0b013e31826e1058</w:t>
        </w:r>
      </w:hyperlink>
      <w:r>
        <w:rPr>
          <w:rFonts w:ascii="Arial" w:eastAsia="Arial" w:hAnsi="Arial"/>
          <w:color w:val="000000"/>
          <w:sz w:val="15"/>
        </w:rPr>
        <w:t>,</w:t>
      </w:r>
      <w:r>
        <w:rPr>
          <w:rFonts w:ascii="Arial" w:eastAsia="Arial" w:hAnsi="Arial"/>
          <w:color w:val="0000FF"/>
          <w:sz w:val="15"/>
        </w:rPr>
        <w:t xml:space="preserve"> </w:t>
      </w:r>
      <w:r>
        <w:rPr>
          <w:rFonts w:ascii="Arial" w:eastAsia="Arial" w:hAnsi="Arial"/>
          <w:color w:val="000000"/>
          <w:sz w:val="15"/>
        </w:rPr>
        <w:t>indexed in Pubmed:</w:t>
      </w:r>
      <w:r>
        <w:rPr>
          <w:rFonts w:ascii="Arial" w:eastAsia="Arial" w:hAnsi="Arial"/>
          <w:color w:val="0000FF"/>
          <w:sz w:val="15"/>
        </w:rPr>
        <w:t xml:space="preserve"> </w:t>
      </w:r>
      <w:hyperlink r:id="rId170" w:history="1">
        <w:r>
          <w:rPr>
            <w:rFonts w:ascii="Arial" w:eastAsia="Arial" w:hAnsi="Arial"/>
            <w:color w:val="0000FF"/>
            <w:sz w:val="15"/>
          </w:rPr>
          <w:t>22923432</w:t>
        </w:r>
      </w:hyperlink>
      <w:r>
        <w:rPr>
          <w:rFonts w:ascii="Arial" w:eastAsia="Arial" w:hAnsi="Arial"/>
          <w:color w:val="000000"/>
          <w:sz w:val="15"/>
        </w:rPr>
        <w:t>.</w:t>
      </w:r>
    </w:p>
    <w:p w:rsidR="00760D48" w:rsidRDefault="00760D48" w:rsidP="00760D48">
      <w:pPr>
        <w:widowControl/>
        <w:numPr>
          <w:ilvl w:val="0"/>
          <w:numId w:val="5"/>
        </w:numPr>
        <w:tabs>
          <w:tab w:val="left" w:pos="280"/>
        </w:tabs>
        <w:autoSpaceDE/>
        <w:autoSpaceDN/>
        <w:spacing w:line="339" w:lineRule="auto"/>
        <w:ind w:left="280" w:hanging="276"/>
        <w:jc w:val="both"/>
        <w:rPr>
          <w:rFonts w:ascii="Arial" w:eastAsia="Arial" w:hAnsi="Arial"/>
          <w:color w:val="0000FF"/>
          <w:sz w:val="14"/>
        </w:rPr>
      </w:pPr>
      <w:r>
        <w:rPr>
          <w:rFonts w:ascii="Arial" w:eastAsia="Arial" w:hAnsi="Arial"/>
          <w:sz w:val="14"/>
        </w:rPr>
        <w:t xml:space="preserve">Catapano AL, Graham I, De Backer G, et al. ESC Scientific Doc-ument Group. 2016 ESC/EAS Guidelines for the Management of Dyslipidaemias. Eur Heart J. 2016; 37(39): 2999–3058, doi: </w:t>
      </w:r>
      <w:hyperlink r:id="rId171" w:history="1">
        <w:r>
          <w:rPr>
            <w:rFonts w:ascii="Arial" w:eastAsia="Arial" w:hAnsi="Arial"/>
            <w:color w:val="0000FF"/>
            <w:sz w:val="14"/>
          </w:rPr>
          <w:t>10.1093/eurheartj/ehw272</w:t>
        </w:r>
      </w:hyperlink>
      <w:r>
        <w:rPr>
          <w:rFonts w:ascii="Arial" w:eastAsia="Arial" w:hAnsi="Arial"/>
          <w:color w:val="000000"/>
          <w:sz w:val="14"/>
        </w:rPr>
        <w:t>,</w:t>
      </w:r>
      <w:r>
        <w:rPr>
          <w:rFonts w:ascii="Arial" w:eastAsia="Arial" w:hAnsi="Arial"/>
          <w:color w:val="0000FF"/>
          <w:sz w:val="14"/>
        </w:rPr>
        <w:t xml:space="preserve"> </w:t>
      </w:r>
      <w:r>
        <w:rPr>
          <w:rFonts w:ascii="Arial" w:eastAsia="Arial" w:hAnsi="Arial"/>
          <w:color w:val="000000"/>
          <w:sz w:val="14"/>
        </w:rPr>
        <w:t>indexed in Pubmed:</w:t>
      </w:r>
      <w:r>
        <w:rPr>
          <w:rFonts w:ascii="Arial" w:eastAsia="Arial" w:hAnsi="Arial"/>
          <w:color w:val="0000FF"/>
          <w:sz w:val="14"/>
        </w:rPr>
        <w:t xml:space="preserve"> </w:t>
      </w:r>
      <w:hyperlink r:id="rId172" w:history="1">
        <w:r>
          <w:rPr>
            <w:rFonts w:ascii="Arial" w:eastAsia="Arial" w:hAnsi="Arial"/>
            <w:color w:val="0000FF"/>
            <w:sz w:val="14"/>
          </w:rPr>
          <w:t>27567407</w:t>
        </w:r>
      </w:hyperlink>
      <w:r>
        <w:rPr>
          <w:rFonts w:ascii="Arial" w:eastAsia="Arial" w:hAnsi="Arial"/>
          <w:color w:val="000000"/>
          <w:sz w:val="14"/>
        </w:rPr>
        <w:t>.</w:t>
      </w:r>
    </w:p>
    <w:p w:rsidR="00760D48" w:rsidRDefault="00760D48" w:rsidP="00760D48">
      <w:pPr>
        <w:spacing w:line="2" w:lineRule="exact"/>
        <w:rPr>
          <w:rFonts w:ascii="Arial" w:eastAsia="Arial" w:hAnsi="Arial"/>
          <w:color w:val="0000FF"/>
          <w:sz w:val="14"/>
        </w:rPr>
      </w:pPr>
    </w:p>
    <w:p w:rsidR="00760D48" w:rsidRDefault="00760D48" w:rsidP="00760D48">
      <w:pPr>
        <w:widowControl/>
        <w:numPr>
          <w:ilvl w:val="0"/>
          <w:numId w:val="5"/>
        </w:numPr>
        <w:tabs>
          <w:tab w:val="left" w:pos="280"/>
        </w:tabs>
        <w:autoSpaceDE/>
        <w:autoSpaceDN/>
        <w:spacing w:line="297" w:lineRule="auto"/>
        <w:ind w:left="280" w:hanging="276"/>
        <w:jc w:val="both"/>
        <w:rPr>
          <w:rFonts w:ascii="Arial" w:eastAsia="Arial" w:hAnsi="Arial"/>
          <w:color w:val="0000FF"/>
          <w:sz w:val="16"/>
        </w:rPr>
      </w:pPr>
      <w:r>
        <w:rPr>
          <w:rFonts w:ascii="Arial" w:eastAsia="Arial" w:hAnsi="Arial"/>
          <w:sz w:val="16"/>
        </w:rPr>
        <w:t xml:space="preserve">Williams B, Mancia G, Spiering W, et al. Authors/Task Force Members:, ESC Scientific Document Group . 2018 ESC/ESH Guidelines for the management of arterial hypertension. Eur Heart J. 2018; 39(33): 3021–3104, doi: </w:t>
      </w:r>
      <w:hyperlink r:id="rId173" w:history="1">
        <w:r>
          <w:rPr>
            <w:rFonts w:ascii="Arial" w:eastAsia="Arial" w:hAnsi="Arial"/>
            <w:color w:val="0000FF"/>
            <w:sz w:val="16"/>
          </w:rPr>
          <w:t>10.1093/eurheartj/</w:t>
        </w:r>
      </w:hyperlink>
      <w:r>
        <w:rPr>
          <w:rFonts w:ascii="Arial" w:eastAsia="Arial" w:hAnsi="Arial"/>
          <w:sz w:val="16"/>
        </w:rPr>
        <w:t xml:space="preserve"> </w:t>
      </w:r>
      <w:hyperlink r:id="rId174" w:history="1">
        <w:r>
          <w:rPr>
            <w:rFonts w:ascii="Arial" w:eastAsia="Arial" w:hAnsi="Arial"/>
            <w:color w:val="0000FF"/>
            <w:sz w:val="16"/>
          </w:rPr>
          <w:t>ehy339</w:t>
        </w:r>
      </w:hyperlink>
      <w:r>
        <w:rPr>
          <w:rFonts w:ascii="Arial" w:eastAsia="Arial" w:hAnsi="Arial"/>
          <w:color w:val="000000"/>
          <w:sz w:val="16"/>
        </w:rPr>
        <w:t>,</w:t>
      </w:r>
      <w:r>
        <w:rPr>
          <w:rFonts w:ascii="Arial" w:eastAsia="Arial" w:hAnsi="Arial"/>
          <w:color w:val="0000FF"/>
          <w:sz w:val="16"/>
        </w:rPr>
        <w:t xml:space="preserve"> </w:t>
      </w:r>
      <w:r>
        <w:rPr>
          <w:rFonts w:ascii="Arial" w:eastAsia="Arial" w:hAnsi="Arial"/>
          <w:color w:val="000000"/>
          <w:sz w:val="16"/>
        </w:rPr>
        <w:t>indexed in Pubmed:</w:t>
      </w:r>
      <w:r>
        <w:rPr>
          <w:rFonts w:ascii="Arial" w:eastAsia="Arial" w:hAnsi="Arial"/>
          <w:color w:val="0000FF"/>
          <w:sz w:val="16"/>
        </w:rPr>
        <w:t xml:space="preserve"> </w:t>
      </w:r>
      <w:hyperlink r:id="rId175" w:history="1">
        <w:r>
          <w:rPr>
            <w:rFonts w:ascii="Arial" w:eastAsia="Arial" w:hAnsi="Arial"/>
            <w:color w:val="0000FF"/>
            <w:sz w:val="16"/>
          </w:rPr>
          <w:t>30165516</w:t>
        </w:r>
      </w:hyperlink>
      <w:r>
        <w:rPr>
          <w:rFonts w:ascii="Arial" w:eastAsia="Arial" w:hAnsi="Arial"/>
          <w:color w:val="000000"/>
          <w:sz w:val="16"/>
        </w:rPr>
        <w:t>.</w:t>
      </w:r>
    </w:p>
    <w:p w:rsidR="00760D48" w:rsidRDefault="00760D48" w:rsidP="00760D48">
      <w:pPr>
        <w:spacing w:line="1" w:lineRule="exact"/>
        <w:rPr>
          <w:rFonts w:ascii="Arial" w:eastAsia="Arial" w:hAnsi="Arial"/>
          <w:color w:val="0000FF"/>
          <w:sz w:val="16"/>
        </w:rPr>
      </w:pPr>
    </w:p>
    <w:p w:rsidR="00760D48" w:rsidRDefault="00760D48" w:rsidP="00760D48">
      <w:pPr>
        <w:widowControl/>
        <w:numPr>
          <w:ilvl w:val="0"/>
          <w:numId w:val="5"/>
        </w:numPr>
        <w:tabs>
          <w:tab w:val="left" w:pos="280"/>
        </w:tabs>
        <w:autoSpaceDE/>
        <w:autoSpaceDN/>
        <w:spacing w:line="297" w:lineRule="auto"/>
        <w:ind w:left="280" w:hanging="276"/>
        <w:jc w:val="both"/>
        <w:rPr>
          <w:rFonts w:ascii="Arial" w:eastAsia="Arial" w:hAnsi="Arial"/>
          <w:sz w:val="16"/>
        </w:rPr>
      </w:pPr>
      <w:r>
        <w:rPr>
          <w:rFonts w:ascii="Arial" w:eastAsia="Arial" w:hAnsi="Arial"/>
          <w:sz w:val="16"/>
        </w:rPr>
        <w:t>https://www.health.govt.nz/our-work/preventative health well-ness/tobacco control/tobacco-control information-practition-ers/definitions smoking-status.</w:t>
      </w:r>
    </w:p>
    <w:p w:rsidR="00760D48" w:rsidRDefault="00760D48" w:rsidP="00760D48">
      <w:pPr>
        <w:spacing w:line="1" w:lineRule="exact"/>
        <w:rPr>
          <w:rFonts w:ascii="Arial" w:eastAsia="Arial" w:hAnsi="Arial"/>
          <w:sz w:val="16"/>
        </w:rPr>
      </w:pPr>
    </w:p>
    <w:p w:rsidR="00760D48" w:rsidRDefault="00760D48" w:rsidP="00760D48">
      <w:pPr>
        <w:widowControl/>
        <w:numPr>
          <w:ilvl w:val="0"/>
          <w:numId w:val="5"/>
        </w:numPr>
        <w:tabs>
          <w:tab w:val="left" w:pos="280"/>
        </w:tabs>
        <w:autoSpaceDE/>
        <w:autoSpaceDN/>
        <w:spacing w:line="297" w:lineRule="auto"/>
        <w:ind w:left="280" w:hanging="276"/>
        <w:jc w:val="both"/>
        <w:rPr>
          <w:rFonts w:ascii="Arial" w:eastAsia="Arial" w:hAnsi="Arial"/>
          <w:sz w:val="16"/>
        </w:rPr>
      </w:pPr>
      <w:r>
        <w:rPr>
          <w:rFonts w:ascii="Arial" w:eastAsia="Arial" w:hAnsi="Arial"/>
          <w:sz w:val="16"/>
        </w:rPr>
        <w:t>https://www.medscape.com/answers/80279-119321/what is the seldinger technique for femoral central venous access and how is it performed.</w:t>
      </w:r>
    </w:p>
    <w:p w:rsidR="00760D48" w:rsidRDefault="00760D48" w:rsidP="00760D48">
      <w:pPr>
        <w:widowControl/>
        <w:numPr>
          <w:ilvl w:val="0"/>
          <w:numId w:val="5"/>
        </w:numPr>
        <w:tabs>
          <w:tab w:val="left" w:pos="280"/>
        </w:tabs>
        <w:autoSpaceDE/>
        <w:autoSpaceDN/>
        <w:spacing w:line="351" w:lineRule="auto"/>
        <w:ind w:left="280" w:hanging="276"/>
        <w:jc w:val="both"/>
        <w:rPr>
          <w:rFonts w:ascii="Arial" w:eastAsia="Arial" w:hAnsi="Arial"/>
          <w:sz w:val="14"/>
        </w:rPr>
      </w:pPr>
      <w:r>
        <w:rPr>
          <w:rFonts w:ascii="Arial" w:eastAsia="Arial" w:hAnsi="Arial"/>
          <w:sz w:val="14"/>
        </w:rPr>
        <w:t xml:space="preserve">Palmerini T, Genereux P, Caixeta A, et al. Prognostic value of the SYNTAX score in patients with acute coronary syndromes un-dergoing percutaneous coronary intervention: analysis from the ACUITY (Acute Catheterization and Urgent Intervention Triage StrategY) trial. J Am Coll Cardiol. 2011; 57(24): 2389–2397, doi: </w:t>
      </w:r>
      <w:hyperlink r:id="rId176" w:history="1">
        <w:r>
          <w:rPr>
            <w:rFonts w:ascii="Arial" w:eastAsia="Arial" w:hAnsi="Arial"/>
            <w:color w:val="0000FF"/>
            <w:sz w:val="14"/>
          </w:rPr>
          <w:t>10.1016/j.jacc.2011.02.032</w:t>
        </w:r>
      </w:hyperlink>
      <w:r>
        <w:rPr>
          <w:rFonts w:ascii="Arial" w:eastAsia="Arial" w:hAnsi="Arial"/>
          <w:sz w:val="14"/>
        </w:rPr>
        <w:t xml:space="preserve">, indexed in Pubmed: </w:t>
      </w:r>
      <w:hyperlink r:id="rId177" w:history="1">
        <w:r>
          <w:rPr>
            <w:rFonts w:ascii="Arial" w:eastAsia="Arial" w:hAnsi="Arial"/>
            <w:color w:val="0000FF"/>
            <w:sz w:val="14"/>
          </w:rPr>
          <w:t>21658558</w:t>
        </w:r>
      </w:hyperlink>
      <w:r>
        <w:rPr>
          <w:rFonts w:ascii="Arial" w:eastAsia="Arial" w:hAnsi="Arial"/>
          <w:sz w:val="14"/>
        </w:rPr>
        <w:t>.</w:t>
      </w:r>
    </w:p>
    <w:p w:rsidR="00760D48" w:rsidRDefault="00760D48" w:rsidP="00760D48">
      <w:pPr>
        <w:spacing w:line="394" w:lineRule="exact"/>
        <w:rPr>
          <w:rFonts w:ascii="Arial" w:eastAsia="Arial" w:hAnsi="Arial"/>
          <w:sz w:val="14"/>
        </w:rPr>
      </w:pPr>
      <w:r>
        <w:rPr>
          <w:rFonts w:ascii="Arial" w:eastAsia="Arial" w:hAnsi="Arial"/>
          <w:sz w:val="14"/>
        </w:rPr>
        <w:br w:type="column"/>
      </w:r>
    </w:p>
    <w:p w:rsidR="00760D48" w:rsidRDefault="00760D48" w:rsidP="00760D48">
      <w:pPr>
        <w:widowControl/>
        <w:numPr>
          <w:ilvl w:val="0"/>
          <w:numId w:val="6"/>
        </w:numPr>
        <w:tabs>
          <w:tab w:val="left" w:pos="292"/>
        </w:tabs>
        <w:autoSpaceDE/>
        <w:autoSpaceDN/>
        <w:spacing w:line="297" w:lineRule="auto"/>
        <w:ind w:left="292" w:hanging="292"/>
        <w:jc w:val="both"/>
        <w:rPr>
          <w:rFonts w:ascii="Arial" w:eastAsia="Arial" w:hAnsi="Arial"/>
          <w:sz w:val="16"/>
        </w:rPr>
      </w:pPr>
      <w:r>
        <w:rPr>
          <w:rFonts w:ascii="Arial" w:eastAsia="Arial" w:hAnsi="Arial"/>
          <w:sz w:val="16"/>
        </w:rPr>
        <w:t xml:space="preserve">Gensini GG. A more meaningful scoring system for determining the severity of coronary heart disease. Am J Cardiol. 1983; 51(3): 606, doi: </w:t>
      </w:r>
      <w:hyperlink r:id="rId178" w:history="1">
        <w:r>
          <w:rPr>
            <w:rFonts w:ascii="Arial" w:eastAsia="Arial" w:hAnsi="Arial"/>
            <w:color w:val="0000FF"/>
            <w:sz w:val="16"/>
          </w:rPr>
          <w:t>10.1016/s0002-9149(83)80105-2</w:t>
        </w:r>
      </w:hyperlink>
      <w:r>
        <w:rPr>
          <w:rFonts w:ascii="Arial" w:eastAsia="Arial" w:hAnsi="Arial"/>
          <w:sz w:val="16"/>
        </w:rPr>
        <w:t xml:space="preserve">, indexed in Pubmed: </w:t>
      </w:r>
      <w:hyperlink r:id="rId179" w:history="1">
        <w:r>
          <w:rPr>
            <w:rFonts w:ascii="Arial" w:eastAsia="Arial" w:hAnsi="Arial"/>
            <w:color w:val="0000FF"/>
            <w:sz w:val="16"/>
          </w:rPr>
          <w:t>6823874</w:t>
        </w:r>
      </w:hyperlink>
      <w:r>
        <w:rPr>
          <w:rFonts w:ascii="Arial" w:eastAsia="Arial" w:hAnsi="Arial"/>
          <w:sz w:val="16"/>
        </w:rPr>
        <w:t>.</w:t>
      </w:r>
    </w:p>
    <w:p w:rsidR="00760D48" w:rsidRDefault="00760D48" w:rsidP="00760D48">
      <w:pPr>
        <w:spacing w:line="1" w:lineRule="exact"/>
        <w:rPr>
          <w:rFonts w:ascii="Arial" w:eastAsia="Arial" w:hAnsi="Arial"/>
          <w:sz w:val="16"/>
        </w:rPr>
      </w:pPr>
    </w:p>
    <w:p w:rsidR="00760D48" w:rsidRDefault="00760D48" w:rsidP="00760D48">
      <w:pPr>
        <w:widowControl/>
        <w:numPr>
          <w:ilvl w:val="0"/>
          <w:numId w:val="6"/>
        </w:numPr>
        <w:tabs>
          <w:tab w:val="left" w:pos="292"/>
        </w:tabs>
        <w:autoSpaceDE/>
        <w:autoSpaceDN/>
        <w:spacing w:line="339" w:lineRule="auto"/>
        <w:ind w:left="292" w:hanging="292"/>
        <w:jc w:val="both"/>
        <w:rPr>
          <w:rFonts w:ascii="Arial" w:eastAsia="Arial" w:hAnsi="Arial"/>
          <w:color w:val="0000FF"/>
          <w:sz w:val="14"/>
        </w:rPr>
      </w:pPr>
      <w:r>
        <w:rPr>
          <w:rFonts w:ascii="Arial" w:eastAsia="Arial" w:hAnsi="Arial"/>
          <w:sz w:val="14"/>
        </w:rPr>
        <w:t xml:space="preserve">Ahn MJ, Kim MC, Ahn Y, et al. Impact of Complete Revascular-ization on Six-Year Clinical Outcomes and Incidence of Acute Decompensated Heart Failure in Patients With ST-Segment Elevation Myocardial Infarction and Multivessel Coronary Artery Disease. Am J Cardiol. 2018; 121(5): 544–551, doi: </w:t>
      </w:r>
      <w:hyperlink r:id="rId180" w:history="1">
        <w:r>
          <w:rPr>
            <w:rFonts w:ascii="Arial" w:eastAsia="Arial" w:hAnsi="Arial"/>
            <w:color w:val="0000FF"/>
            <w:sz w:val="14"/>
          </w:rPr>
          <w:t>10.1016/j.</w:t>
        </w:r>
      </w:hyperlink>
      <w:r>
        <w:rPr>
          <w:rFonts w:ascii="Arial" w:eastAsia="Arial" w:hAnsi="Arial"/>
          <w:sz w:val="14"/>
        </w:rPr>
        <w:t xml:space="preserve"> </w:t>
      </w:r>
      <w:hyperlink r:id="rId181" w:history="1">
        <w:r>
          <w:rPr>
            <w:rFonts w:ascii="Arial" w:eastAsia="Arial" w:hAnsi="Arial"/>
            <w:color w:val="0000FF"/>
            <w:sz w:val="14"/>
          </w:rPr>
          <w:t>amjcard.2017.11.025</w:t>
        </w:r>
      </w:hyperlink>
      <w:r>
        <w:rPr>
          <w:rFonts w:ascii="Arial" w:eastAsia="Arial" w:hAnsi="Arial"/>
          <w:color w:val="000000"/>
          <w:sz w:val="14"/>
        </w:rPr>
        <w:t>,</w:t>
      </w:r>
      <w:r>
        <w:rPr>
          <w:rFonts w:ascii="Arial" w:eastAsia="Arial" w:hAnsi="Arial"/>
          <w:color w:val="0000FF"/>
          <w:sz w:val="14"/>
        </w:rPr>
        <w:t xml:space="preserve"> </w:t>
      </w:r>
      <w:r>
        <w:rPr>
          <w:rFonts w:ascii="Arial" w:eastAsia="Arial" w:hAnsi="Arial"/>
          <w:color w:val="000000"/>
          <w:sz w:val="14"/>
        </w:rPr>
        <w:t>indexed in Pubmed:</w:t>
      </w:r>
      <w:r>
        <w:rPr>
          <w:rFonts w:ascii="Arial" w:eastAsia="Arial" w:hAnsi="Arial"/>
          <w:color w:val="0000FF"/>
          <w:sz w:val="14"/>
        </w:rPr>
        <w:t xml:space="preserve"> </w:t>
      </w:r>
      <w:hyperlink r:id="rId182" w:history="1">
        <w:r>
          <w:rPr>
            <w:rFonts w:ascii="Arial" w:eastAsia="Arial" w:hAnsi="Arial"/>
            <w:color w:val="0000FF"/>
            <w:sz w:val="14"/>
          </w:rPr>
          <w:t>29325904</w:t>
        </w:r>
      </w:hyperlink>
      <w:r>
        <w:rPr>
          <w:rFonts w:ascii="Arial" w:eastAsia="Arial" w:hAnsi="Arial"/>
          <w:color w:val="000000"/>
          <w:sz w:val="14"/>
        </w:rPr>
        <w:t>.</w:t>
      </w:r>
    </w:p>
    <w:p w:rsidR="00760D48" w:rsidRDefault="00760D48" w:rsidP="00760D48">
      <w:pPr>
        <w:spacing w:line="3" w:lineRule="exact"/>
        <w:rPr>
          <w:rFonts w:ascii="Arial" w:eastAsia="Arial" w:hAnsi="Arial"/>
          <w:color w:val="0000FF"/>
          <w:sz w:val="14"/>
        </w:rPr>
      </w:pPr>
    </w:p>
    <w:p w:rsidR="00760D48" w:rsidRDefault="00760D48" w:rsidP="00760D48">
      <w:pPr>
        <w:widowControl/>
        <w:numPr>
          <w:ilvl w:val="0"/>
          <w:numId w:val="6"/>
        </w:numPr>
        <w:tabs>
          <w:tab w:val="left" w:pos="292"/>
        </w:tabs>
        <w:autoSpaceDE/>
        <w:autoSpaceDN/>
        <w:spacing w:line="317" w:lineRule="auto"/>
        <w:ind w:left="292" w:hanging="292"/>
        <w:jc w:val="both"/>
        <w:rPr>
          <w:rFonts w:ascii="Arial" w:eastAsia="Arial" w:hAnsi="Arial"/>
          <w:sz w:val="15"/>
        </w:rPr>
      </w:pPr>
      <w:r>
        <w:rPr>
          <w:rFonts w:ascii="Arial" w:eastAsia="Arial" w:hAnsi="Arial"/>
          <w:sz w:val="15"/>
        </w:rPr>
        <w:t xml:space="preserve">Franse LV, Pahor M, Di Bari M, et al. Hypokalemia associat-ed with diuretic use and cardiovascular events in the Systol-ic Hypertension in the Elderly Program. Hypertension. 2000; 35(5): 1025–1030, doi: </w:t>
      </w:r>
      <w:hyperlink r:id="rId183" w:history="1">
        <w:r>
          <w:rPr>
            <w:rFonts w:ascii="Arial" w:eastAsia="Arial" w:hAnsi="Arial"/>
            <w:color w:val="0000FF"/>
            <w:sz w:val="15"/>
          </w:rPr>
          <w:t>10.1161/01.hyp.35.5.1025</w:t>
        </w:r>
      </w:hyperlink>
      <w:r>
        <w:rPr>
          <w:rFonts w:ascii="Arial" w:eastAsia="Arial" w:hAnsi="Arial"/>
          <w:sz w:val="15"/>
        </w:rPr>
        <w:t xml:space="preserve">, indexed in Pubmed: </w:t>
      </w:r>
      <w:hyperlink r:id="rId184" w:history="1">
        <w:r>
          <w:rPr>
            <w:rFonts w:ascii="Arial" w:eastAsia="Arial" w:hAnsi="Arial"/>
            <w:color w:val="0000FF"/>
            <w:sz w:val="15"/>
          </w:rPr>
          <w:t>10818057</w:t>
        </w:r>
      </w:hyperlink>
      <w:r>
        <w:rPr>
          <w:rFonts w:ascii="Arial" w:eastAsia="Arial" w:hAnsi="Arial"/>
          <w:sz w:val="15"/>
        </w:rPr>
        <w:t>.</w:t>
      </w:r>
    </w:p>
    <w:p w:rsidR="00760D48" w:rsidRDefault="00760D48" w:rsidP="00760D48">
      <w:pPr>
        <w:widowControl/>
        <w:numPr>
          <w:ilvl w:val="0"/>
          <w:numId w:val="6"/>
        </w:numPr>
        <w:tabs>
          <w:tab w:val="left" w:pos="292"/>
        </w:tabs>
        <w:autoSpaceDE/>
        <w:autoSpaceDN/>
        <w:spacing w:line="317" w:lineRule="auto"/>
        <w:ind w:left="292" w:hanging="292"/>
        <w:jc w:val="both"/>
        <w:rPr>
          <w:rFonts w:ascii="Arial" w:eastAsia="Arial" w:hAnsi="Arial"/>
          <w:color w:val="0000FF"/>
          <w:sz w:val="15"/>
        </w:rPr>
      </w:pPr>
      <w:r>
        <w:rPr>
          <w:rFonts w:ascii="Arial" w:eastAsia="Arial" w:hAnsi="Arial"/>
          <w:sz w:val="15"/>
        </w:rPr>
        <w:t xml:space="preserve">Tobian L. Protecting arteries against hypertensive inju-ry. Clin Exp Hypertens A. 1992; 14(1-2): 35–43, doi: </w:t>
      </w:r>
      <w:hyperlink r:id="rId185" w:history="1">
        <w:r>
          <w:rPr>
            <w:rFonts w:ascii="Arial" w:eastAsia="Arial" w:hAnsi="Arial"/>
            <w:color w:val="0000FF"/>
            <w:sz w:val="15"/>
          </w:rPr>
          <w:t>10.3109/10641969209036169</w:t>
        </w:r>
      </w:hyperlink>
      <w:r>
        <w:rPr>
          <w:rFonts w:ascii="Arial" w:eastAsia="Arial" w:hAnsi="Arial"/>
          <w:color w:val="000000"/>
          <w:sz w:val="15"/>
        </w:rPr>
        <w:t>,</w:t>
      </w:r>
      <w:r>
        <w:rPr>
          <w:rFonts w:ascii="Arial" w:eastAsia="Arial" w:hAnsi="Arial"/>
          <w:color w:val="0000FF"/>
          <w:sz w:val="15"/>
        </w:rPr>
        <w:t xml:space="preserve"> </w:t>
      </w:r>
      <w:r>
        <w:rPr>
          <w:rFonts w:ascii="Arial" w:eastAsia="Arial" w:hAnsi="Arial"/>
          <w:color w:val="000000"/>
          <w:sz w:val="15"/>
        </w:rPr>
        <w:t>indexed in Pubmed:</w:t>
      </w:r>
      <w:r>
        <w:rPr>
          <w:rFonts w:ascii="Arial" w:eastAsia="Arial" w:hAnsi="Arial"/>
          <w:color w:val="0000FF"/>
          <w:sz w:val="15"/>
        </w:rPr>
        <w:t xml:space="preserve"> </w:t>
      </w:r>
      <w:hyperlink r:id="rId186" w:history="1">
        <w:r>
          <w:rPr>
            <w:rFonts w:ascii="Arial" w:eastAsia="Arial" w:hAnsi="Arial"/>
            <w:color w:val="0000FF"/>
            <w:sz w:val="15"/>
          </w:rPr>
          <w:t>1541045</w:t>
        </w:r>
      </w:hyperlink>
      <w:r>
        <w:rPr>
          <w:rFonts w:ascii="Arial" w:eastAsia="Arial" w:hAnsi="Arial"/>
          <w:color w:val="000000"/>
          <w:sz w:val="15"/>
        </w:rPr>
        <w:t>.</w:t>
      </w:r>
    </w:p>
    <w:p w:rsidR="00760D48" w:rsidRDefault="00760D48" w:rsidP="00760D48">
      <w:pPr>
        <w:widowControl/>
        <w:numPr>
          <w:ilvl w:val="0"/>
          <w:numId w:val="6"/>
        </w:numPr>
        <w:tabs>
          <w:tab w:val="left" w:pos="292"/>
        </w:tabs>
        <w:autoSpaceDE/>
        <w:autoSpaceDN/>
        <w:spacing w:line="297" w:lineRule="auto"/>
        <w:ind w:left="292" w:hanging="292"/>
        <w:jc w:val="both"/>
        <w:rPr>
          <w:rFonts w:ascii="Arial" w:eastAsia="Arial" w:hAnsi="Arial"/>
          <w:color w:val="0000FF"/>
          <w:sz w:val="16"/>
        </w:rPr>
      </w:pPr>
      <w:r>
        <w:rPr>
          <w:rFonts w:ascii="Arial" w:eastAsia="Arial" w:hAnsi="Arial"/>
          <w:sz w:val="16"/>
        </w:rPr>
        <w:t xml:space="preserve">Li X, Li Y, Jin J, et al. Increased serum cathepsin K in patients with coronary artery disease. Yonsei Med J. 2014; 55(4): 912– –919, doi: </w:t>
      </w:r>
      <w:hyperlink r:id="rId187" w:history="1">
        <w:r>
          <w:rPr>
            <w:rFonts w:ascii="Arial" w:eastAsia="Arial" w:hAnsi="Arial"/>
            <w:color w:val="0000FF"/>
            <w:sz w:val="16"/>
          </w:rPr>
          <w:t>10.3349/ymj.2014.55.4.912</w:t>
        </w:r>
      </w:hyperlink>
      <w:r>
        <w:rPr>
          <w:rFonts w:ascii="Arial" w:eastAsia="Arial" w:hAnsi="Arial"/>
          <w:sz w:val="16"/>
        </w:rPr>
        <w:t xml:space="preserve">, indexed in Pubmed: </w:t>
      </w:r>
      <w:hyperlink r:id="rId188" w:history="1">
        <w:r>
          <w:rPr>
            <w:rFonts w:ascii="Arial" w:eastAsia="Arial" w:hAnsi="Arial"/>
            <w:color w:val="0000FF"/>
            <w:sz w:val="16"/>
          </w:rPr>
          <w:t>24954318</w:t>
        </w:r>
      </w:hyperlink>
      <w:r>
        <w:rPr>
          <w:rFonts w:ascii="Arial" w:eastAsia="Arial" w:hAnsi="Arial"/>
          <w:color w:val="000000"/>
          <w:sz w:val="16"/>
        </w:rPr>
        <w:t>.</w:t>
      </w:r>
    </w:p>
    <w:p w:rsidR="00760D48" w:rsidRDefault="00760D48" w:rsidP="00760D48">
      <w:pPr>
        <w:spacing w:line="1" w:lineRule="exact"/>
        <w:rPr>
          <w:rFonts w:ascii="Arial" w:eastAsia="Arial" w:hAnsi="Arial"/>
          <w:color w:val="0000FF"/>
          <w:sz w:val="16"/>
        </w:rPr>
      </w:pPr>
    </w:p>
    <w:p w:rsidR="00760D48" w:rsidRDefault="00760D48" w:rsidP="00760D48">
      <w:pPr>
        <w:widowControl/>
        <w:numPr>
          <w:ilvl w:val="0"/>
          <w:numId w:val="6"/>
        </w:numPr>
        <w:tabs>
          <w:tab w:val="left" w:pos="292"/>
        </w:tabs>
        <w:autoSpaceDE/>
        <w:autoSpaceDN/>
        <w:spacing w:line="297" w:lineRule="auto"/>
        <w:ind w:left="292" w:hanging="292"/>
        <w:jc w:val="both"/>
        <w:rPr>
          <w:rFonts w:ascii="Arial" w:eastAsia="Arial" w:hAnsi="Arial"/>
          <w:sz w:val="16"/>
        </w:rPr>
      </w:pPr>
      <w:r>
        <w:rPr>
          <w:rFonts w:ascii="Arial" w:eastAsia="Arial" w:hAnsi="Arial"/>
          <w:sz w:val="16"/>
        </w:rPr>
        <w:t xml:space="preserve">Wysowski DK, Kornegay C, Nourjah P, et al. Sex and age dif-ferences in serum potassium in the United States. Clin Chem. 2003; 49(1): 190–192, doi: </w:t>
      </w:r>
      <w:hyperlink r:id="rId189" w:history="1">
        <w:r>
          <w:rPr>
            <w:rFonts w:ascii="Arial" w:eastAsia="Arial" w:hAnsi="Arial"/>
            <w:color w:val="0000FF"/>
            <w:sz w:val="16"/>
          </w:rPr>
          <w:t>10.1373/49.1.190</w:t>
        </w:r>
      </w:hyperlink>
      <w:r>
        <w:rPr>
          <w:rFonts w:ascii="Arial" w:eastAsia="Arial" w:hAnsi="Arial"/>
          <w:sz w:val="16"/>
        </w:rPr>
        <w:t xml:space="preserve">, indexed in Pu-bmed: </w:t>
      </w:r>
      <w:hyperlink r:id="rId190" w:history="1">
        <w:r>
          <w:rPr>
            <w:rFonts w:ascii="Arial" w:eastAsia="Arial" w:hAnsi="Arial"/>
            <w:color w:val="0000FF"/>
            <w:sz w:val="16"/>
          </w:rPr>
          <w:t>12507983</w:t>
        </w:r>
      </w:hyperlink>
      <w:r>
        <w:rPr>
          <w:rFonts w:ascii="Arial" w:eastAsia="Arial" w:hAnsi="Arial"/>
          <w:sz w:val="16"/>
        </w:rPr>
        <w:t>.</w:t>
      </w:r>
    </w:p>
    <w:p w:rsidR="00760D48" w:rsidRDefault="00760D48" w:rsidP="00760D48">
      <w:pPr>
        <w:spacing w:line="1" w:lineRule="exact"/>
        <w:rPr>
          <w:rFonts w:ascii="Arial" w:eastAsia="Arial" w:hAnsi="Arial"/>
          <w:sz w:val="16"/>
        </w:rPr>
      </w:pPr>
    </w:p>
    <w:p w:rsidR="00760D48" w:rsidRDefault="00760D48" w:rsidP="00760D48">
      <w:pPr>
        <w:widowControl/>
        <w:numPr>
          <w:ilvl w:val="0"/>
          <w:numId w:val="6"/>
        </w:numPr>
        <w:tabs>
          <w:tab w:val="left" w:pos="292"/>
        </w:tabs>
        <w:autoSpaceDE/>
        <w:autoSpaceDN/>
        <w:spacing w:line="297" w:lineRule="auto"/>
        <w:ind w:left="292" w:hanging="292"/>
        <w:jc w:val="both"/>
        <w:rPr>
          <w:rFonts w:ascii="Arial" w:eastAsia="Arial" w:hAnsi="Arial"/>
          <w:color w:val="0000FF"/>
          <w:sz w:val="16"/>
        </w:rPr>
      </w:pPr>
      <w:r>
        <w:rPr>
          <w:rFonts w:ascii="Arial" w:eastAsia="Arial" w:hAnsi="Arial"/>
          <w:sz w:val="16"/>
        </w:rPr>
        <w:t xml:space="preserve">Goyal A, Spertus JA, Gosch K, et al. Serum potassium levels and mortality in acute myocardial infarction. JAMA. 2012; 307(2): 157–164, doi: </w:t>
      </w:r>
      <w:hyperlink r:id="rId191" w:history="1">
        <w:r>
          <w:rPr>
            <w:rFonts w:ascii="Arial" w:eastAsia="Arial" w:hAnsi="Arial"/>
            <w:color w:val="0000FF"/>
            <w:sz w:val="16"/>
          </w:rPr>
          <w:t>10.1001/jama.2011.1967</w:t>
        </w:r>
      </w:hyperlink>
      <w:r>
        <w:rPr>
          <w:rFonts w:ascii="Arial" w:eastAsia="Arial" w:hAnsi="Arial"/>
          <w:sz w:val="16"/>
        </w:rPr>
        <w:t xml:space="preserve">, indexed in Pubmed: </w:t>
      </w:r>
      <w:hyperlink r:id="rId192" w:history="1">
        <w:r>
          <w:rPr>
            <w:rFonts w:ascii="Arial" w:eastAsia="Arial" w:hAnsi="Arial"/>
            <w:color w:val="0000FF"/>
            <w:sz w:val="16"/>
          </w:rPr>
          <w:t>22235086</w:t>
        </w:r>
      </w:hyperlink>
      <w:r>
        <w:rPr>
          <w:rFonts w:ascii="Arial" w:eastAsia="Arial" w:hAnsi="Arial"/>
          <w:color w:val="000000"/>
          <w:sz w:val="16"/>
        </w:rPr>
        <w:t>.</w:t>
      </w:r>
    </w:p>
    <w:p w:rsidR="00760D48" w:rsidRDefault="00760D48" w:rsidP="00760D48">
      <w:pPr>
        <w:spacing w:line="1" w:lineRule="exact"/>
        <w:rPr>
          <w:rFonts w:ascii="Arial" w:eastAsia="Arial" w:hAnsi="Arial"/>
          <w:color w:val="0000FF"/>
          <w:sz w:val="16"/>
        </w:rPr>
      </w:pPr>
    </w:p>
    <w:p w:rsidR="00760D48" w:rsidRDefault="00760D48" w:rsidP="00760D48">
      <w:pPr>
        <w:widowControl/>
        <w:numPr>
          <w:ilvl w:val="0"/>
          <w:numId w:val="6"/>
        </w:numPr>
        <w:tabs>
          <w:tab w:val="left" w:pos="292"/>
        </w:tabs>
        <w:autoSpaceDE/>
        <w:autoSpaceDN/>
        <w:spacing w:line="339" w:lineRule="auto"/>
        <w:ind w:left="292" w:hanging="292"/>
        <w:jc w:val="both"/>
        <w:rPr>
          <w:rFonts w:ascii="Arial" w:eastAsia="Arial" w:hAnsi="Arial"/>
          <w:sz w:val="14"/>
        </w:rPr>
      </w:pPr>
      <w:r>
        <w:rPr>
          <w:rFonts w:ascii="Arial" w:eastAsia="Arial" w:hAnsi="Arial"/>
          <w:sz w:val="14"/>
        </w:rPr>
        <w:t>Sekiyama H, Nagoshi T, Komukai K. et.al. Transient decrease in serum potassium level during ischemic attack of acute coronary syndrome: paradoxical contribution of plasma glucose level and glycohemo¬globin. Cardiovasc Diabetol. 2013; 12: 4.</w:t>
      </w:r>
    </w:p>
    <w:p w:rsidR="00760D48" w:rsidRDefault="00760D48" w:rsidP="00760D48">
      <w:pPr>
        <w:spacing w:line="2" w:lineRule="exact"/>
        <w:rPr>
          <w:rFonts w:ascii="Arial" w:eastAsia="Arial" w:hAnsi="Arial"/>
          <w:sz w:val="14"/>
        </w:rPr>
      </w:pPr>
    </w:p>
    <w:p w:rsidR="00760D48" w:rsidRDefault="00760D48" w:rsidP="00760D48">
      <w:pPr>
        <w:widowControl/>
        <w:numPr>
          <w:ilvl w:val="0"/>
          <w:numId w:val="6"/>
        </w:numPr>
        <w:tabs>
          <w:tab w:val="left" w:pos="292"/>
        </w:tabs>
        <w:autoSpaceDE/>
        <w:autoSpaceDN/>
        <w:spacing w:line="297" w:lineRule="auto"/>
        <w:ind w:left="292" w:hanging="292"/>
        <w:jc w:val="both"/>
        <w:rPr>
          <w:rFonts w:ascii="Arial" w:eastAsia="Arial" w:hAnsi="Arial"/>
          <w:sz w:val="16"/>
        </w:rPr>
      </w:pPr>
      <w:r>
        <w:rPr>
          <w:rFonts w:ascii="Arial" w:eastAsia="Arial" w:hAnsi="Arial"/>
          <w:sz w:val="16"/>
        </w:rPr>
        <w:t>Zhang H, Zhou CY. and Fu HY. The level of potassium in early patients with acute myocardial infarction and the analysis of its relevant factors. Chinese Journal of Prevention and Control of Chronic Diseases. 2011; 3: 026.</w:t>
      </w:r>
    </w:p>
    <w:p w:rsidR="00760D48" w:rsidRDefault="00760D48" w:rsidP="00760D48">
      <w:pPr>
        <w:spacing w:line="1" w:lineRule="exact"/>
        <w:rPr>
          <w:rFonts w:ascii="Arial" w:eastAsia="Arial" w:hAnsi="Arial"/>
          <w:sz w:val="16"/>
        </w:rPr>
      </w:pPr>
    </w:p>
    <w:p w:rsidR="00760D48" w:rsidRDefault="00760D48" w:rsidP="00760D48">
      <w:pPr>
        <w:widowControl/>
        <w:numPr>
          <w:ilvl w:val="0"/>
          <w:numId w:val="6"/>
        </w:numPr>
        <w:tabs>
          <w:tab w:val="left" w:pos="292"/>
        </w:tabs>
        <w:autoSpaceDE/>
        <w:autoSpaceDN/>
        <w:spacing w:line="297" w:lineRule="auto"/>
        <w:ind w:left="292" w:hanging="292"/>
        <w:jc w:val="both"/>
        <w:rPr>
          <w:rFonts w:ascii="Arial" w:eastAsia="Arial" w:hAnsi="Arial"/>
          <w:sz w:val="16"/>
        </w:rPr>
      </w:pPr>
      <w:r>
        <w:rPr>
          <w:rFonts w:ascii="Arial" w:eastAsia="Arial" w:hAnsi="Arial"/>
          <w:sz w:val="16"/>
        </w:rPr>
        <w:t xml:space="preserve">Sianos G, Morel MA, Kappetein AP, et al. The SYNTAX Score: an angiographic tool grading the complexity of coronary artery disease. EuroIntervention. 2005; 1(2): 219–227, indexed in Pu-bmed: </w:t>
      </w:r>
      <w:hyperlink r:id="rId193" w:history="1">
        <w:r>
          <w:rPr>
            <w:rFonts w:ascii="Arial" w:eastAsia="Arial" w:hAnsi="Arial"/>
            <w:color w:val="0000FF"/>
            <w:sz w:val="16"/>
          </w:rPr>
          <w:t>19758907</w:t>
        </w:r>
      </w:hyperlink>
      <w:r>
        <w:rPr>
          <w:rFonts w:ascii="Arial" w:eastAsia="Arial" w:hAnsi="Arial"/>
          <w:sz w:val="16"/>
        </w:rPr>
        <w:t>.</w:t>
      </w:r>
    </w:p>
    <w:p w:rsidR="00760D48" w:rsidRDefault="00760D48" w:rsidP="00760D48">
      <w:pPr>
        <w:spacing w:line="1" w:lineRule="exact"/>
        <w:rPr>
          <w:rFonts w:ascii="Arial" w:eastAsia="Arial" w:hAnsi="Arial"/>
          <w:sz w:val="16"/>
        </w:rPr>
      </w:pPr>
    </w:p>
    <w:p w:rsidR="00760D48" w:rsidRDefault="00760D48" w:rsidP="00760D48">
      <w:pPr>
        <w:widowControl/>
        <w:numPr>
          <w:ilvl w:val="0"/>
          <w:numId w:val="6"/>
        </w:numPr>
        <w:tabs>
          <w:tab w:val="left" w:pos="292"/>
        </w:tabs>
        <w:autoSpaceDE/>
        <w:autoSpaceDN/>
        <w:spacing w:line="339" w:lineRule="auto"/>
        <w:ind w:left="292" w:hanging="292"/>
        <w:jc w:val="both"/>
        <w:rPr>
          <w:rFonts w:ascii="Arial" w:eastAsia="Arial" w:hAnsi="Arial"/>
          <w:sz w:val="14"/>
        </w:rPr>
      </w:pPr>
      <w:r>
        <w:rPr>
          <w:rFonts w:ascii="Arial" w:eastAsia="Arial" w:hAnsi="Arial"/>
          <w:sz w:val="14"/>
        </w:rPr>
        <w:t xml:space="preserve">Serruys PW, Onuma Y, Garg S, et al. Assessment of the SYNTAX score in the Syntax study. EuroIntervention. 2009; 5(1): 50–56, doi: </w:t>
      </w:r>
      <w:hyperlink r:id="rId194" w:history="1">
        <w:r>
          <w:rPr>
            <w:rFonts w:ascii="Arial" w:eastAsia="Arial" w:hAnsi="Arial"/>
            <w:color w:val="0000FF"/>
            <w:sz w:val="14"/>
          </w:rPr>
          <w:t>10.4244/eijv5i1a9</w:t>
        </w:r>
      </w:hyperlink>
      <w:r>
        <w:rPr>
          <w:rFonts w:ascii="Arial" w:eastAsia="Arial" w:hAnsi="Arial"/>
          <w:sz w:val="14"/>
        </w:rPr>
        <w:t xml:space="preserve">, indexed in Pubmed: </w:t>
      </w:r>
      <w:hyperlink r:id="rId195" w:history="1">
        <w:r>
          <w:rPr>
            <w:rFonts w:ascii="Arial" w:eastAsia="Arial" w:hAnsi="Arial"/>
            <w:color w:val="0000FF"/>
            <w:sz w:val="14"/>
          </w:rPr>
          <w:t>19577983</w:t>
        </w:r>
      </w:hyperlink>
      <w:r>
        <w:rPr>
          <w:rFonts w:ascii="Arial" w:eastAsia="Arial" w:hAnsi="Arial"/>
          <w:sz w:val="14"/>
        </w:rPr>
        <w:t>.</w:t>
      </w:r>
    </w:p>
    <w:p w:rsidR="00760D48" w:rsidRDefault="00760D48" w:rsidP="00760D48">
      <w:pPr>
        <w:spacing w:line="1" w:lineRule="exact"/>
        <w:rPr>
          <w:rFonts w:ascii="Arial" w:eastAsia="Arial" w:hAnsi="Arial"/>
          <w:sz w:val="14"/>
        </w:rPr>
      </w:pPr>
    </w:p>
    <w:p w:rsidR="00760D48" w:rsidRDefault="00760D48" w:rsidP="00760D48">
      <w:pPr>
        <w:widowControl/>
        <w:numPr>
          <w:ilvl w:val="0"/>
          <w:numId w:val="6"/>
        </w:numPr>
        <w:tabs>
          <w:tab w:val="left" w:pos="292"/>
        </w:tabs>
        <w:autoSpaceDE/>
        <w:autoSpaceDN/>
        <w:spacing w:line="327" w:lineRule="auto"/>
        <w:ind w:left="292" w:hanging="292"/>
        <w:jc w:val="both"/>
        <w:rPr>
          <w:rFonts w:ascii="Arial" w:eastAsia="Arial" w:hAnsi="Arial"/>
          <w:color w:val="0000FF"/>
          <w:sz w:val="15"/>
        </w:rPr>
      </w:pPr>
      <w:r>
        <w:rPr>
          <w:rFonts w:ascii="Arial" w:eastAsia="Arial" w:hAnsi="Arial"/>
          <w:sz w:val="15"/>
        </w:rPr>
        <w:t xml:space="preserve">Kato S, Saito N, Kirigaya H, et al. Incremental prognostic value of the SYNTAX score to late gadolinium-enhanced magnet-ic resonance images for patients with stable coronary artery disease. Heart Vessels. 2016; 31(6): 871–880, doi: </w:t>
      </w:r>
      <w:hyperlink r:id="rId196" w:history="1">
        <w:r>
          <w:rPr>
            <w:rFonts w:ascii="Arial" w:eastAsia="Arial" w:hAnsi="Arial"/>
            <w:color w:val="0000FF"/>
            <w:sz w:val="15"/>
          </w:rPr>
          <w:t>10.1007/</w:t>
        </w:r>
      </w:hyperlink>
      <w:r>
        <w:rPr>
          <w:rFonts w:ascii="Arial" w:eastAsia="Arial" w:hAnsi="Arial"/>
          <w:sz w:val="15"/>
        </w:rPr>
        <w:t xml:space="preserve"> </w:t>
      </w:r>
      <w:hyperlink r:id="rId197" w:history="1">
        <w:r>
          <w:rPr>
            <w:rFonts w:ascii="Arial" w:eastAsia="Arial" w:hAnsi="Arial"/>
            <w:color w:val="0000FF"/>
            <w:sz w:val="15"/>
          </w:rPr>
          <w:t>s00380-015-0685-x</w:t>
        </w:r>
      </w:hyperlink>
      <w:r>
        <w:rPr>
          <w:rFonts w:ascii="Arial" w:eastAsia="Arial" w:hAnsi="Arial"/>
          <w:color w:val="000000"/>
          <w:sz w:val="15"/>
        </w:rPr>
        <w:t>,</w:t>
      </w:r>
      <w:r>
        <w:rPr>
          <w:rFonts w:ascii="Arial" w:eastAsia="Arial" w:hAnsi="Arial"/>
          <w:color w:val="0000FF"/>
          <w:sz w:val="15"/>
        </w:rPr>
        <w:t xml:space="preserve"> </w:t>
      </w:r>
      <w:r>
        <w:rPr>
          <w:rFonts w:ascii="Arial" w:eastAsia="Arial" w:hAnsi="Arial"/>
          <w:color w:val="000000"/>
          <w:sz w:val="15"/>
        </w:rPr>
        <w:t>indexed in Pubmed:</w:t>
      </w:r>
      <w:r>
        <w:rPr>
          <w:rFonts w:ascii="Arial" w:eastAsia="Arial" w:hAnsi="Arial"/>
          <w:color w:val="0000FF"/>
          <w:sz w:val="15"/>
        </w:rPr>
        <w:t xml:space="preserve"> </w:t>
      </w:r>
      <w:hyperlink r:id="rId198" w:history="1">
        <w:r>
          <w:rPr>
            <w:rFonts w:ascii="Arial" w:eastAsia="Arial" w:hAnsi="Arial"/>
            <w:color w:val="0000FF"/>
            <w:sz w:val="15"/>
          </w:rPr>
          <w:t>25904244</w:t>
        </w:r>
      </w:hyperlink>
      <w:r>
        <w:rPr>
          <w:rFonts w:ascii="Arial" w:eastAsia="Arial" w:hAnsi="Arial"/>
          <w:color w:val="000000"/>
          <w:sz w:val="15"/>
        </w:rPr>
        <w:t>.</w:t>
      </w:r>
    </w:p>
    <w:p w:rsidR="00760D48" w:rsidRDefault="00760D48" w:rsidP="00760D48">
      <w:pPr>
        <w:tabs>
          <w:tab w:val="left" w:pos="292"/>
        </w:tabs>
        <w:spacing w:line="327" w:lineRule="auto"/>
        <w:ind w:left="292" w:hanging="292"/>
        <w:jc w:val="both"/>
        <w:rPr>
          <w:rFonts w:ascii="Arial" w:eastAsia="Arial" w:hAnsi="Arial"/>
          <w:color w:val="0000FF"/>
          <w:sz w:val="15"/>
        </w:rPr>
        <w:sectPr w:rsidR="00760D48">
          <w:type w:val="continuous"/>
          <w:pgSz w:w="11620" w:h="16548"/>
          <w:pgMar w:top="919" w:right="1302" w:bottom="0" w:left="960" w:header="0" w:footer="0" w:gutter="0"/>
          <w:cols w:num="2" w:space="0" w:equalWidth="0">
            <w:col w:w="4460" w:space="448"/>
            <w:col w:w="4452"/>
          </w:cols>
          <w:docGrid w:linePitch="360"/>
        </w:sectPr>
      </w:pPr>
    </w:p>
    <w:p w:rsidR="00760D48" w:rsidRDefault="00760D48" w:rsidP="00760D48">
      <w:pPr>
        <w:spacing w:line="200" w:lineRule="exact"/>
        <w:rPr>
          <w:rFonts w:ascii="Arial" w:eastAsia="Arial" w:hAnsi="Arial"/>
          <w:sz w:val="15"/>
        </w:rPr>
      </w:pPr>
    </w:p>
    <w:p w:rsidR="00760D48" w:rsidRDefault="00760D48" w:rsidP="00760D48">
      <w:pPr>
        <w:spacing w:line="200" w:lineRule="exact"/>
        <w:rPr>
          <w:rFonts w:ascii="Arial" w:eastAsia="Arial" w:hAnsi="Arial"/>
          <w:sz w:val="15"/>
        </w:rPr>
      </w:pPr>
    </w:p>
    <w:p w:rsidR="00760D48" w:rsidRDefault="00760D48" w:rsidP="00760D48">
      <w:pPr>
        <w:spacing w:line="200" w:lineRule="exact"/>
        <w:rPr>
          <w:rFonts w:ascii="Arial" w:eastAsia="Arial" w:hAnsi="Arial"/>
          <w:sz w:val="15"/>
        </w:rPr>
      </w:pPr>
    </w:p>
    <w:p w:rsidR="00760D48" w:rsidRDefault="00760D48" w:rsidP="00760D48">
      <w:pPr>
        <w:spacing w:line="200" w:lineRule="exact"/>
        <w:rPr>
          <w:rFonts w:ascii="Arial" w:eastAsia="Arial" w:hAnsi="Arial"/>
          <w:sz w:val="15"/>
        </w:rPr>
      </w:pPr>
    </w:p>
    <w:p w:rsidR="00760D48" w:rsidRDefault="00760D48" w:rsidP="00760D48">
      <w:pPr>
        <w:spacing w:line="200" w:lineRule="exact"/>
        <w:rPr>
          <w:rFonts w:ascii="Arial" w:eastAsia="Arial" w:hAnsi="Arial"/>
          <w:sz w:val="15"/>
        </w:rPr>
      </w:pPr>
    </w:p>
    <w:p w:rsidR="00760D48" w:rsidRDefault="00760D48" w:rsidP="00760D48">
      <w:pPr>
        <w:spacing w:line="200" w:lineRule="exact"/>
        <w:rPr>
          <w:rFonts w:ascii="Arial" w:eastAsia="Arial" w:hAnsi="Arial"/>
          <w:sz w:val="15"/>
        </w:rPr>
      </w:pPr>
    </w:p>
    <w:p w:rsidR="00760D48" w:rsidRDefault="00760D48" w:rsidP="00760D48">
      <w:pPr>
        <w:spacing w:line="200" w:lineRule="exact"/>
        <w:rPr>
          <w:rFonts w:ascii="Arial" w:eastAsia="Arial" w:hAnsi="Arial"/>
          <w:sz w:val="15"/>
        </w:rPr>
      </w:pPr>
    </w:p>
    <w:p w:rsidR="00760D48" w:rsidRDefault="00760D48" w:rsidP="00760D48">
      <w:pPr>
        <w:spacing w:line="200" w:lineRule="exact"/>
        <w:rPr>
          <w:rFonts w:ascii="Arial" w:eastAsia="Arial" w:hAnsi="Arial"/>
          <w:sz w:val="15"/>
        </w:rPr>
      </w:pPr>
    </w:p>
    <w:p w:rsidR="00760D48" w:rsidRDefault="00760D48" w:rsidP="00760D48">
      <w:pPr>
        <w:spacing w:line="200" w:lineRule="exact"/>
        <w:rPr>
          <w:rFonts w:ascii="Arial" w:eastAsia="Arial" w:hAnsi="Arial"/>
          <w:sz w:val="15"/>
        </w:rPr>
      </w:pPr>
    </w:p>
    <w:p w:rsidR="00760D48" w:rsidRDefault="00760D48" w:rsidP="00760D48">
      <w:pPr>
        <w:spacing w:line="200" w:lineRule="exact"/>
        <w:rPr>
          <w:rFonts w:ascii="Arial" w:eastAsia="Arial" w:hAnsi="Arial"/>
          <w:sz w:val="15"/>
        </w:rPr>
      </w:pPr>
    </w:p>
    <w:p w:rsidR="00760D48" w:rsidRDefault="00760D48" w:rsidP="00760D48">
      <w:pPr>
        <w:spacing w:line="200" w:lineRule="exact"/>
        <w:rPr>
          <w:rFonts w:ascii="Arial" w:eastAsia="Arial" w:hAnsi="Arial"/>
          <w:sz w:val="15"/>
        </w:rPr>
      </w:pPr>
    </w:p>
    <w:p w:rsidR="00760D48" w:rsidRDefault="00760D48" w:rsidP="00760D48">
      <w:pPr>
        <w:spacing w:line="200" w:lineRule="exact"/>
        <w:rPr>
          <w:rFonts w:ascii="Arial" w:eastAsia="Arial" w:hAnsi="Arial"/>
          <w:sz w:val="15"/>
        </w:rPr>
      </w:pPr>
    </w:p>
    <w:p w:rsidR="00760D48" w:rsidRDefault="00760D48" w:rsidP="00760D48">
      <w:pPr>
        <w:spacing w:line="218" w:lineRule="exact"/>
        <w:rPr>
          <w:rFonts w:ascii="Arial" w:eastAsia="Arial" w:hAnsi="Arial"/>
          <w:sz w:val="15"/>
        </w:rPr>
      </w:pPr>
    </w:p>
    <w:p w:rsidR="00760D48" w:rsidRDefault="00760D48" w:rsidP="00760D48">
      <w:pPr>
        <w:tabs>
          <w:tab w:val="left" w:pos="3260"/>
        </w:tabs>
        <w:spacing w:line="0" w:lineRule="atLeast"/>
        <w:rPr>
          <w:rFonts w:ascii="Arial" w:eastAsia="Arial" w:hAnsi="Arial"/>
          <w:sz w:val="14"/>
        </w:rPr>
      </w:pPr>
      <w:r>
        <w:rPr>
          <w:rFonts w:ascii="Arial" w:eastAsia="Arial" w:hAnsi="Arial"/>
          <w:sz w:val="16"/>
        </w:rPr>
        <w:t>64</w:t>
      </w:r>
      <w:r>
        <w:rPr>
          <w:rFonts w:ascii="Times New Roman" w:eastAsia="Times New Roman" w:hAnsi="Times New Roman"/>
        </w:rPr>
        <w:tab/>
      </w:r>
      <w:r>
        <w:rPr>
          <w:rFonts w:ascii="Arial" w:eastAsia="Arial" w:hAnsi="Arial"/>
          <w:sz w:val="14"/>
        </w:rPr>
        <w:t>www.journals.viamedica.pl/acta_angiologica</w:t>
      </w:r>
    </w:p>
    <w:p w:rsidR="00760D48" w:rsidRDefault="00760D48" w:rsidP="00760D48">
      <w:pPr>
        <w:tabs>
          <w:tab w:val="left" w:pos="3260"/>
        </w:tabs>
        <w:spacing w:line="0" w:lineRule="atLeast"/>
        <w:rPr>
          <w:rFonts w:ascii="Arial" w:eastAsia="Arial" w:hAnsi="Arial"/>
          <w:sz w:val="14"/>
        </w:rPr>
        <w:sectPr w:rsidR="00760D48">
          <w:type w:val="continuous"/>
          <w:pgSz w:w="11620" w:h="16548"/>
          <w:pgMar w:top="919" w:right="1302" w:bottom="0" w:left="960" w:header="0" w:footer="0" w:gutter="0"/>
          <w:cols w:space="0" w:equalWidth="0">
            <w:col w:w="9360"/>
          </w:cols>
          <w:docGrid w:linePitch="360"/>
        </w:sectPr>
      </w:pPr>
    </w:p>
    <w:p w:rsidR="00760D48" w:rsidRDefault="00760D48" w:rsidP="00760D48">
      <w:pPr>
        <w:spacing w:line="200" w:lineRule="exact"/>
        <w:rPr>
          <w:rFonts w:ascii="Arial" w:eastAsia="Arial" w:hAnsi="Arial"/>
          <w:sz w:val="15"/>
        </w:rPr>
      </w:pPr>
    </w:p>
    <w:p w:rsidR="00760D48" w:rsidRDefault="00760D48" w:rsidP="00760D48">
      <w:pPr>
        <w:spacing w:line="335" w:lineRule="exact"/>
        <w:rPr>
          <w:rFonts w:ascii="Arial" w:eastAsia="Arial" w:hAnsi="Arial"/>
          <w:sz w:val="15"/>
        </w:rPr>
      </w:pPr>
    </w:p>
    <w:p w:rsidR="00760D48" w:rsidRDefault="001D2EC7" w:rsidP="00760D48">
      <w:pPr>
        <w:spacing w:line="0" w:lineRule="atLeast"/>
        <w:ind w:left="40"/>
        <w:rPr>
          <w:rFonts w:ascii="Arial" w:eastAsia="Arial" w:hAnsi="Arial"/>
          <w:color w:val="B4B4B4"/>
          <w:sz w:val="7"/>
        </w:rPr>
      </w:pPr>
      <w:hyperlink r:id="rId199" w:history="1">
        <w:r w:rsidR="00760D48">
          <w:rPr>
            <w:rFonts w:ascii="Arial" w:eastAsia="Arial" w:hAnsi="Arial"/>
            <w:color w:val="B4B4B4"/>
            <w:sz w:val="7"/>
          </w:rPr>
          <w:t>View publication stats</w:t>
        </w:r>
      </w:hyperlink>
    </w:p>
    <w:p w:rsidR="00760D48" w:rsidRDefault="00760D48" w:rsidP="00760D48">
      <w:pPr>
        <w:tabs>
          <w:tab w:val="left" w:pos="10140"/>
        </w:tabs>
        <w:spacing w:line="0" w:lineRule="atLeast"/>
        <w:rPr>
          <w:rFonts w:ascii="Arial" w:eastAsia="Arial" w:hAnsi="Arial"/>
          <w:sz w:val="16"/>
        </w:rPr>
      </w:pPr>
    </w:p>
    <w:p w:rsidR="00F13C1D" w:rsidRDefault="00F13C1D">
      <w:pPr>
        <w:pStyle w:val="BodyText"/>
        <w:rPr>
          <w:rFonts w:ascii="Times New Roman"/>
          <w:sz w:val="20"/>
        </w:rPr>
      </w:pPr>
    </w:p>
    <w:p w:rsidR="00F13C1D" w:rsidRDefault="00760D48">
      <w:pPr>
        <w:pStyle w:val="BodyText"/>
        <w:spacing w:line="117" w:lineRule="exact"/>
        <w:ind w:left="100" w:right="-15"/>
        <w:rPr>
          <w:rFonts w:ascii="Times New Roman"/>
          <w:sz w:val="11"/>
        </w:rPr>
      </w:pPr>
      <w:r>
        <w:rPr>
          <w:rFonts w:ascii="Times New Roman"/>
          <w:noProof/>
          <w:position w:val="-1"/>
          <w:sz w:val="11"/>
          <w:lang w:bidi="ar-SA"/>
        </w:rPr>
        <w:drawing>
          <wp:inline distT="0" distB="0" distL="0" distR="0">
            <wp:extent cx="5896050" cy="7429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0" cstate="print"/>
                    <a:stretch>
                      <a:fillRect/>
                    </a:stretch>
                  </pic:blipFill>
                  <pic:spPr>
                    <a:xfrm>
                      <a:off x="0" y="0"/>
                      <a:ext cx="5896050" cy="74295"/>
                    </a:xfrm>
                    <a:prstGeom prst="rect">
                      <a:avLst/>
                    </a:prstGeom>
                  </pic:spPr>
                </pic:pic>
              </a:graphicData>
            </a:graphic>
          </wp:inline>
        </w:drawing>
      </w:r>
    </w:p>
    <w:p w:rsidR="00F13C1D" w:rsidRDefault="00F13C1D">
      <w:pPr>
        <w:pStyle w:val="BodyText"/>
        <w:rPr>
          <w:rFonts w:ascii="Times New Roman"/>
          <w:sz w:val="20"/>
        </w:rPr>
      </w:pPr>
    </w:p>
    <w:p w:rsidR="00F13C1D" w:rsidRDefault="00F13C1D">
      <w:pPr>
        <w:rPr>
          <w:rFonts w:ascii="Times New Roman"/>
          <w:sz w:val="20"/>
        </w:rPr>
        <w:sectPr w:rsidR="00F13C1D">
          <w:type w:val="continuous"/>
          <w:pgSz w:w="12240" w:h="15840"/>
          <w:pgMar w:top="1500" w:right="1480" w:bottom="280" w:left="1340" w:header="720" w:footer="720" w:gutter="0"/>
          <w:cols w:space="720"/>
        </w:sectPr>
      </w:pPr>
    </w:p>
    <w:p w:rsidR="00F13C1D" w:rsidRDefault="00F13C1D">
      <w:pPr>
        <w:pStyle w:val="BodyText"/>
        <w:spacing w:before="6"/>
        <w:rPr>
          <w:rFonts w:ascii="Times New Roman"/>
          <w:sz w:val="23"/>
        </w:rPr>
      </w:pPr>
    </w:p>
    <w:p w:rsidR="00F13C1D" w:rsidRDefault="00760D48">
      <w:pPr>
        <w:ind w:left="1033"/>
        <w:rPr>
          <w:b/>
          <w:sz w:val="26"/>
        </w:rPr>
      </w:pPr>
      <w:r>
        <w:rPr>
          <w:b/>
          <w:w w:val="90"/>
          <w:sz w:val="26"/>
        </w:rPr>
        <w:t>Cureus</w:t>
      </w:r>
    </w:p>
    <w:p w:rsidR="00F13C1D" w:rsidRDefault="00760D48">
      <w:pPr>
        <w:pStyle w:val="BodyText"/>
        <w:spacing w:before="3"/>
        <w:rPr>
          <w:b/>
          <w:sz w:val="20"/>
        </w:rPr>
      </w:pPr>
      <w:r>
        <w:br w:type="column"/>
      </w:r>
    </w:p>
    <w:p w:rsidR="00F13C1D" w:rsidRDefault="00760D48">
      <w:pPr>
        <w:spacing w:line="247" w:lineRule="auto"/>
        <w:ind w:left="1041" w:right="36" w:hanging="8"/>
        <w:rPr>
          <w:b/>
          <w:sz w:val="13"/>
        </w:rPr>
      </w:pPr>
      <w:r>
        <w:rPr>
          <w:b/>
          <w:color w:val="161616"/>
          <w:sz w:val="13"/>
        </w:rPr>
        <w:t xml:space="preserve">Open </w:t>
      </w:r>
      <w:r>
        <w:rPr>
          <w:b/>
          <w:sz w:val="13"/>
        </w:rPr>
        <w:t xml:space="preserve">Access </w:t>
      </w:r>
      <w:r>
        <w:rPr>
          <w:b/>
          <w:color w:val="111111"/>
          <w:sz w:val="13"/>
        </w:rPr>
        <w:t xml:space="preserve">Original </w:t>
      </w:r>
      <w:r>
        <w:rPr>
          <w:b/>
          <w:sz w:val="13"/>
        </w:rPr>
        <w:t>Article</w:t>
      </w:r>
    </w:p>
    <w:p w:rsidR="00F13C1D" w:rsidRDefault="00760D48">
      <w:pPr>
        <w:pStyle w:val="BodyText"/>
        <w:rPr>
          <w:b/>
        </w:rPr>
      </w:pPr>
      <w:r>
        <w:br w:type="column"/>
      </w:r>
    </w:p>
    <w:p w:rsidR="00F13C1D" w:rsidRDefault="00F13C1D">
      <w:pPr>
        <w:pStyle w:val="BodyText"/>
        <w:spacing w:before="4"/>
        <w:rPr>
          <w:b/>
          <w:sz w:val="20"/>
        </w:rPr>
      </w:pPr>
    </w:p>
    <w:p w:rsidR="00F13C1D" w:rsidRDefault="00760D48">
      <w:pPr>
        <w:ind w:left="1033"/>
        <w:rPr>
          <w:rFonts w:ascii="Times New Roman"/>
          <w:sz w:val="13"/>
        </w:rPr>
      </w:pPr>
      <w:r>
        <w:rPr>
          <w:rFonts w:ascii="Times New Roman"/>
          <w:color w:val="282828"/>
          <w:sz w:val="13"/>
        </w:rPr>
        <w:t xml:space="preserve">DOl: </w:t>
      </w:r>
      <w:r>
        <w:rPr>
          <w:rFonts w:ascii="Times New Roman"/>
          <w:color w:val="3D3D3D"/>
          <w:w w:val="90"/>
          <w:sz w:val="13"/>
        </w:rPr>
        <w:t xml:space="preserve">fi </w:t>
      </w:r>
      <w:r>
        <w:rPr>
          <w:rFonts w:ascii="Times New Roman"/>
          <w:color w:val="0F0F0F"/>
          <w:sz w:val="13"/>
        </w:rPr>
        <w:t>0.T759/cureus.4279</w:t>
      </w:r>
    </w:p>
    <w:p w:rsidR="00F13C1D" w:rsidRDefault="00F13C1D">
      <w:pPr>
        <w:rPr>
          <w:rFonts w:ascii="Times New Roman"/>
          <w:sz w:val="13"/>
        </w:rPr>
        <w:sectPr w:rsidR="00F13C1D">
          <w:type w:val="continuous"/>
          <w:pgSz w:w="12240" w:h="15840"/>
          <w:pgMar w:top="1500" w:right="1480" w:bottom="280" w:left="1340" w:header="720" w:footer="720" w:gutter="0"/>
          <w:cols w:num="3" w:space="720" w:equalWidth="0">
            <w:col w:w="1830" w:space="87"/>
            <w:col w:w="2345" w:space="853"/>
            <w:col w:w="4305"/>
          </w:cols>
        </w:sectPr>
      </w:pPr>
    </w:p>
    <w:p w:rsidR="00F13C1D" w:rsidRDefault="00F13C1D">
      <w:pPr>
        <w:pStyle w:val="BodyText"/>
        <w:spacing w:before="9"/>
        <w:rPr>
          <w:rFonts w:ascii="Times New Roman"/>
          <w:sz w:val="23"/>
        </w:rPr>
      </w:pPr>
    </w:p>
    <w:p w:rsidR="00F13C1D" w:rsidRDefault="00760D48">
      <w:pPr>
        <w:pStyle w:val="BodyText"/>
        <w:ind w:left="2997"/>
        <w:rPr>
          <w:rFonts w:ascii="Times New Roman"/>
          <w:sz w:val="20"/>
        </w:rPr>
      </w:pPr>
      <w:r>
        <w:rPr>
          <w:rFonts w:ascii="Times New Roman"/>
          <w:noProof/>
          <w:sz w:val="20"/>
          <w:lang w:bidi="ar-SA"/>
        </w:rPr>
        <w:drawing>
          <wp:inline distT="0" distB="0" distL="0" distR="0">
            <wp:extent cx="3488589" cy="17459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1" cstate="print"/>
                    <a:stretch>
                      <a:fillRect/>
                    </a:stretch>
                  </pic:blipFill>
                  <pic:spPr>
                    <a:xfrm>
                      <a:off x="0" y="0"/>
                      <a:ext cx="3488589" cy="174593"/>
                    </a:xfrm>
                    <a:prstGeom prst="rect">
                      <a:avLst/>
                    </a:prstGeom>
                  </pic:spPr>
                </pic:pic>
              </a:graphicData>
            </a:graphic>
          </wp:inline>
        </w:drawing>
      </w:r>
    </w:p>
    <w:p w:rsidR="00F13C1D" w:rsidRDefault="00F13C1D">
      <w:pPr>
        <w:pStyle w:val="BodyText"/>
        <w:spacing w:before="4"/>
        <w:rPr>
          <w:rFonts w:ascii="Times New Roman"/>
          <w:sz w:val="7"/>
        </w:rPr>
      </w:pPr>
    </w:p>
    <w:p w:rsidR="00F13C1D" w:rsidRDefault="00760D48">
      <w:pPr>
        <w:pStyle w:val="BodyText"/>
        <w:ind w:left="3003"/>
        <w:rPr>
          <w:rFonts w:ascii="Times New Roman"/>
          <w:sz w:val="20"/>
        </w:rPr>
      </w:pPr>
      <w:r>
        <w:rPr>
          <w:rFonts w:ascii="Times New Roman"/>
          <w:noProof/>
          <w:sz w:val="20"/>
          <w:lang w:bidi="ar-SA"/>
        </w:rPr>
        <w:drawing>
          <wp:inline distT="0" distB="0" distL="0" distR="0">
            <wp:extent cx="3198802" cy="3714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2" cstate="print"/>
                    <a:stretch>
                      <a:fillRect/>
                    </a:stretch>
                  </pic:blipFill>
                  <pic:spPr>
                    <a:xfrm>
                      <a:off x="0" y="0"/>
                      <a:ext cx="3198802" cy="371475"/>
                    </a:xfrm>
                    <a:prstGeom prst="rect">
                      <a:avLst/>
                    </a:prstGeom>
                  </pic:spPr>
                </pic:pic>
              </a:graphicData>
            </a:graphic>
          </wp:inline>
        </w:drawing>
      </w:r>
    </w:p>
    <w:p w:rsidR="00F13C1D" w:rsidRDefault="00F13C1D">
      <w:pPr>
        <w:pStyle w:val="BodyText"/>
        <w:spacing w:before="3"/>
        <w:rPr>
          <w:rFonts w:ascii="Times New Roman"/>
          <w:sz w:val="13"/>
        </w:rPr>
      </w:pPr>
    </w:p>
    <w:p w:rsidR="00F13C1D" w:rsidRDefault="00760D48">
      <w:pPr>
        <w:pStyle w:val="BodyText"/>
        <w:spacing w:before="1"/>
        <w:ind w:left="2989"/>
      </w:pPr>
      <w:r>
        <w:rPr>
          <w:color w:val="131313"/>
        </w:rPr>
        <w:t xml:space="preserve">Hafez </w:t>
      </w:r>
      <w:r>
        <w:rPr>
          <w:color w:val="1A1A1A"/>
        </w:rPr>
        <w:t xml:space="preserve">Mohammad </w:t>
      </w:r>
      <w:r>
        <w:rPr>
          <w:color w:val="242424"/>
        </w:rPr>
        <w:t xml:space="preserve">Abdullah </w:t>
      </w:r>
      <w:r>
        <w:rPr>
          <w:color w:val="565656"/>
        </w:rPr>
        <w:t xml:space="preserve">, </w:t>
      </w:r>
      <w:r>
        <w:rPr>
          <w:color w:val="232323"/>
        </w:rPr>
        <w:t xml:space="preserve">Adnan </w:t>
      </w:r>
      <w:r>
        <w:rPr>
          <w:color w:val="282828"/>
        </w:rPr>
        <w:t xml:space="preserve">Khan </w:t>
      </w:r>
      <w:r>
        <w:rPr>
          <w:color w:val="4D4D4D"/>
        </w:rPr>
        <w:t xml:space="preserve">, </w:t>
      </w:r>
      <w:r>
        <w:rPr>
          <w:color w:val="2A2A2A"/>
        </w:rPr>
        <w:t xml:space="preserve">Momin </w:t>
      </w:r>
      <w:r>
        <w:rPr>
          <w:color w:val="282828"/>
        </w:rPr>
        <w:t xml:space="preserve">Khan </w:t>
      </w:r>
      <w:r>
        <w:rPr>
          <w:color w:val="3A3A3A"/>
        </w:rPr>
        <w:t xml:space="preserve">Afridi </w:t>
      </w:r>
      <w:r>
        <w:rPr>
          <w:color w:val="838383"/>
        </w:rPr>
        <w:t xml:space="preserve">, </w:t>
      </w:r>
      <w:r>
        <w:rPr>
          <w:color w:val="2F2F2F"/>
        </w:rPr>
        <w:t xml:space="preserve">Azam </w:t>
      </w:r>
      <w:r>
        <w:rPr>
          <w:color w:val="3A3A3A"/>
        </w:rPr>
        <w:t xml:space="preserve">tan </w:t>
      </w:r>
      <w:r>
        <w:rPr>
          <w:color w:val="2D2D2D"/>
        </w:rPr>
        <w:t xml:space="preserve">, </w:t>
      </w:r>
      <w:r>
        <w:rPr>
          <w:color w:val="161616"/>
        </w:rPr>
        <w:t xml:space="preserve">Uzma </w:t>
      </w:r>
      <w:r>
        <w:rPr>
          <w:color w:val="212121"/>
        </w:rPr>
        <w:t xml:space="preserve">I. </w:t>
      </w:r>
      <w:r>
        <w:rPr>
          <w:color w:val="161616"/>
        </w:rPr>
        <w:t>Khan</w:t>
      </w:r>
    </w:p>
    <w:p w:rsidR="00F13C1D" w:rsidRDefault="00760D48">
      <w:pPr>
        <w:pStyle w:val="BodyText"/>
        <w:spacing w:before="27"/>
        <w:ind w:left="3088"/>
      </w:pPr>
      <w:r>
        <w:rPr>
          <w:color w:val="282828"/>
        </w:rPr>
        <w:t xml:space="preserve">, </w:t>
      </w:r>
      <w:r>
        <w:rPr>
          <w:color w:val="181818"/>
        </w:rPr>
        <w:t xml:space="preserve">Waqas </w:t>
      </w:r>
      <w:r>
        <w:rPr>
          <w:color w:val="161616"/>
        </w:rPr>
        <w:t xml:space="preserve">Ullah </w:t>
      </w:r>
      <w:r>
        <w:rPr>
          <w:color w:val="9E9E9E"/>
        </w:rPr>
        <w:t xml:space="preserve">' </w:t>
      </w:r>
      <w:r>
        <w:rPr>
          <w:color w:val="212121"/>
        </w:rPr>
        <w:t xml:space="preserve">, </w:t>
      </w:r>
      <w:r>
        <w:rPr>
          <w:color w:val="0C0C0C"/>
        </w:rPr>
        <w:t xml:space="preserve">Asrar </w:t>
      </w:r>
      <w:r>
        <w:rPr>
          <w:color w:val="131313"/>
        </w:rPr>
        <w:t xml:space="preserve">Ahmad </w:t>
      </w:r>
      <w:r>
        <w:rPr>
          <w:color w:val="A5A5A5"/>
        </w:rPr>
        <w:t xml:space="preserve">' </w:t>
      </w:r>
      <w:r>
        <w:rPr>
          <w:color w:val="4B4B4B"/>
        </w:rPr>
        <w:t xml:space="preserve">, </w:t>
      </w:r>
      <w:r>
        <w:t xml:space="preserve">Muhaınmad </w:t>
      </w:r>
      <w:r>
        <w:rPr>
          <w:color w:val="232323"/>
        </w:rPr>
        <w:t xml:space="preserve">Omar </w:t>
      </w:r>
      <w:r>
        <w:rPr>
          <w:color w:val="464646"/>
        </w:rPr>
        <w:t xml:space="preserve">, </w:t>
      </w:r>
      <w:r>
        <w:rPr>
          <w:color w:val="2D2D2D"/>
        </w:rPr>
        <w:t xml:space="preserve">Ishaq </w:t>
      </w:r>
      <w:r>
        <w:rPr>
          <w:color w:val="3B3B3B"/>
        </w:rPr>
        <w:t xml:space="preserve">Khan </w:t>
      </w:r>
      <w:r>
        <w:rPr>
          <w:color w:val="333333"/>
        </w:rPr>
        <w:t xml:space="preserve">, </w:t>
      </w:r>
      <w:r>
        <w:rPr>
          <w:i/>
          <w:color w:val="2F2F2F"/>
        </w:rPr>
        <w:t xml:space="preserve">Arsalan </w:t>
      </w:r>
      <w:r>
        <w:rPr>
          <w:color w:val="232323"/>
        </w:rPr>
        <w:t>Khan</w:t>
      </w:r>
    </w:p>
    <w:p w:rsidR="00F13C1D" w:rsidRDefault="00F13C1D">
      <w:pPr>
        <w:pStyle w:val="BodyText"/>
        <w:rPr>
          <w:sz w:val="22"/>
        </w:rPr>
      </w:pPr>
    </w:p>
    <w:p w:rsidR="00F13C1D" w:rsidRDefault="00760D48">
      <w:pPr>
        <w:spacing w:line="280" w:lineRule="auto"/>
        <w:ind w:left="2983" w:right="859" w:firstLine="24"/>
        <w:rPr>
          <w:sz w:val="13"/>
        </w:rPr>
      </w:pPr>
      <w:r>
        <w:rPr>
          <w:color w:val="838383"/>
          <w:sz w:val="13"/>
        </w:rPr>
        <w:t xml:space="preserve">. </w:t>
      </w:r>
      <w:r>
        <w:rPr>
          <w:color w:val="A5A5A5"/>
          <w:sz w:val="13"/>
        </w:rPr>
        <w:t xml:space="preserve">. </w:t>
      </w:r>
      <w:r>
        <w:rPr>
          <w:color w:val="131313"/>
          <w:sz w:val="13"/>
        </w:rPr>
        <w:t xml:space="preserve">Internal </w:t>
      </w:r>
      <w:r>
        <w:rPr>
          <w:color w:val="161616"/>
          <w:sz w:val="13"/>
        </w:rPr>
        <w:t xml:space="preserve">Medicine, </w:t>
      </w:r>
      <w:r>
        <w:rPr>
          <w:color w:val="262626"/>
          <w:sz w:val="13"/>
        </w:rPr>
        <w:t xml:space="preserve">University </w:t>
      </w:r>
      <w:r>
        <w:rPr>
          <w:color w:val="333333"/>
          <w:sz w:val="13"/>
        </w:rPr>
        <w:t xml:space="preserve">of </w:t>
      </w:r>
      <w:r>
        <w:rPr>
          <w:color w:val="111111"/>
          <w:sz w:val="13"/>
        </w:rPr>
        <w:t xml:space="preserve">South </w:t>
      </w:r>
      <w:r>
        <w:rPr>
          <w:color w:val="1F1F1F"/>
          <w:sz w:val="13"/>
        </w:rPr>
        <w:t xml:space="preserve">Dakota </w:t>
      </w:r>
      <w:r>
        <w:rPr>
          <w:color w:val="1D1D1D"/>
          <w:sz w:val="13"/>
        </w:rPr>
        <w:t xml:space="preserve">Sanford </w:t>
      </w:r>
      <w:r>
        <w:rPr>
          <w:color w:val="363636"/>
          <w:sz w:val="13"/>
        </w:rPr>
        <w:t xml:space="preserve">School </w:t>
      </w:r>
      <w:r>
        <w:rPr>
          <w:color w:val="111111"/>
          <w:sz w:val="13"/>
        </w:rPr>
        <w:t xml:space="preserve">of </w:t>
      </w:r>
      <w:r>
        <w:rPr>
          <w:color w:val="383838"/>
          <w:sz w:val="13"/>
        </w:rPr>
        <w:t xml:space="preserve">Medicine, </w:t>
      </w:r>
      <w:r>
        <w:rPr>
          <w:color w:val="5E5E5E"/>
          <w:sz w:val="13"/>
        </w:rPr>
        <w:t xml:space="preserve">Sioiix </w:t>
      </w:r>
      <w:r>
        <w:rPr>
          <w:color w:val="3F3F3F"/>
          <w:sz w:val="13"/>
        </w:rPr>
        <w:t xml:space="preserve">Falls, </w:t>
      </w:r>
      <w:r>
        <w:rPr>
          <w:color w:val="565656"/>
          <w:sz w:val="13"/>
        </w:rPr>
        <w:t xml:space="preserve">USA </w:t>
      </w:r>
      <w:r>
        <w:rPr>
          <w:color w:val="0F0F0F"/>
          <w:sz w:val="13"/>
        </w:rPr>
        <w:t xml:space="preserve">Cardiology, </w:t>
      </w:r>
      <w:r>
        <w:rPr>
          <w:sz w:val="13"/>
        </w:rPr>
        <w:t xml:space="preserve">Hayatabaa </w:t>
      </w:r>
      <w:r>
        <w:rPr>
          <w:color w:val="262626"/>
          <w:sz w:val="13"/>
        </w:rPr>
        <w:t xml:space="preserve">medical </w:t>
      </w:r>
      <w:r>
        <w:rPr>
          <w:color w:val="1A1A1A"/>
          <w:sz w:val="13"/>
        </w:rPr>
        <w:t xml:space="preserve">Complex, </w:t>
      </w:r>
      <w:r>
        <w:rPr>
          <w:color w:val="232323"/>
          <w:sz w:val="13"/>
        </w:rPr>
        <w:t xml:space="preserve">Peshawar, </w:t>
      </w:r>
      <w:r>
        <w:rPr>
          <w:color w:val="212121"/>
          <w:sz w:val="13"/>
        </w:rPr>
        <w:t xml:space="preserve">PAK </w:t>
      </w:r>
      <w:r>
        <w:rPr>
          <w:color w:val="A1A1A1"/>
          <w:sz w:val="13"/>
        </w:rPr>
        <w:t xml:space="preserve">. </w:t>
      </w:r>
      <w:r>
        <w:rPr>
          <w:color w:val="1D1D1D"/>
          <w:sz w:val="13"/>
        </w:rPr>
        <w:t xml:space="preserve">Cardiology, </w:t>
      </w:r>
      <w:r>
        <w:rPr>
          <w:color w:val="313131"/>
          <w:sz w:val="13"/>
        </w:rPr>
        <w:t xml:space="preserve">Rehman </w:t>
      </w:r>
      <w:r>
        <w:rPr>
          <w:color w:val="484848"/>
          <w:sz w:val="13"/>
        </w:rPr>
        <w:t xml:space="preserve">Medical </w:t>
      </w:r>
      <w:r>
        <w:rPr>
          <w:color w:val="2D2D2D"/>
          <w:sz w:val="13"/>
        </w:rPr>
        <w:t xml:space="preserve">Institute, </w:t>
      </w:r>
      <w:r>
        <w:rPr>
          <w:sz w:val="13"/>
        </w:rPr>
        <w:t xml:space="preserve">Peshawar, </w:t>
      </w:r>
      <w:r>
        <w:rPr>
          <w:color w:val="1A1A1A"/>
          <w:sz w:val="13"/>
        </w:rPr>
        <w:t xml:space="preserve">PAL </w:t>
      </w:r>
      <w:r>
        <w:rPr>
          <w:color w:val="8C8C8C"/>
          <w:sz w:val="13"/>
        </w:rPr>
        <w:t xml:space="preserve">. </w:t>
      </w:r>
      <w:r>
        <w:rPr>
          <w:color w:val="1A1A1A"/>
          <w:sz w:val="13"/>
        </w:rPr>
        <w:t xml:space="preserve">Cardiothoracic </w:t>
      </w:r>
      <w:r>
        <w:rPr>
          <w:color w:val="161616"/>
          <w:sz w:val="13"/>
        </w:rPr>
        <w:t xml:space="preserve">Surgery, </w:t>
      </w:r>
      <w:r>
        <w:rPr>
          <w:color w:val="181818"/>
          <w:sz w:val="13"/>
        </w:rPr>
        <w:t xml:space="preserve">Rehman Medical </w:t>
      </w:r>
      <w:r>
        <w:rPr>
          <w:color w:val="1C1C1C"/>
          <w:sz w:val="13"/>
        </w:rPr>
        <w:t xml:space="preserve">Institute, </w:t>
      </w:r>
      <w:r>
        <w:rPr>
          <w:color w:val="2A2A2A"/>
          <w:sz w:val="13"/>
        </w:rPr>
        <w:t xml:space="preserve">Peshawar, </w:t>
      </w:r>
      <w:r>
        <w:rPr>
          <w:color w:val="595959"/>
          <w:sz w:val="13"/>
        </w:rPr>
        <w:t xml:space="preserve">PAID </w:t>
      </w:r>
      <w:r>
        <w:rPr>
          <w:color w:val="BCBCBC"/>
          <w:sz w:val="13"/>
        </w:rPr>
        <w:t xml:space="preserve">. </w:t>
      </w:r>
      <w:r>
        <w:rPr>
          <w:color w:val="343434"/>
          <w:sz w:val="13"/>
        </w:rPr>
        <w:t xml:space="preserve">Internal </w:t>
      </w:r>
      <w:r>
        <w:rPr>
          <w:sz w:val="13"/>
        </w:rPr>
        <w:t xml:space="preserve">Medicine, </w:t>
      </w:r>
      <w:r>
        <w:rPr>
          <w:color w:val="212121"/>
          <w:sz w:val="13"/>
        </w:rPr>
        <w:t xml:space="preserve">Khyber </w:t>
      </w:r>
      <w:r>
        <w:rPr>
          <w:color w:val="0C0C0C"/>
          <w:sz w:val="13"/>
        </w:rPr>
        <w:t xml:space="preserve">Teaching </w:t>
      </w:r>
      <w:r>
        <w:rPr>
          <w:color w:val="1A1A1A"/>
          <w:sz w:val="13"/>
        </w:rPr>
        <w:t xml:space="preserve">Hospital, </w:t>
      </w:r>
      <w:r>
        <w:rPr>
          <w:color w:val="1C1C1C"/>
          <w:sz w:val="13"/>
        </w:rPr>
        <w:t xml:space="preserve">Peshawar, </w:t>
      </w:r>
      <w:r>
        <w:rPr>
          <w:color w:val="282828"/>
          <w:sz w:val="13"/>
        </w:rPr>
        <w:t xml:space="preserve">PAK </w:t>
      </w:r>
      <w:r>
        <w:rPr>
          <w:color w:val="797979"/>
          <w:sz w:val="13"/>
        </w:rPr>
        <w:t xml:space="preserve">'.. </w:t>
      </w:r>
      <w:r>
        <w:rPr>
          <w:color w:val="212121"/>
          <w:sz w:val="13"/>
        </w:rPr>
        <w:t xml:space="preserve">Internal </w:t>
      </w:r>
      <w:r>
        <w:rPr>
          <w:color w:val="2F2F2F"/>
          <w:sz w:val="13"/>
        </w:rPr>
        <w:t xml:space="preserve">Medicine, </w:t>
      </w:r>
      <w:r>
        <w:rPr>
          <w:color w:val="505050"/>
          <w:sz w:val="13"/>
        </w:rPr>
        <w:t xml:space="preserve">Abingdon Jefferson </w:t>
      </w:r>
      <w:r>
        <w:rPr>
          <w:color w:val="383838"/>
          <w:sz w:val="13"/>
        </w:rPr>
        <w:t xml:space="preserve">Health, </w:t>
      </w:r>
      <w:r>
        <w:rPr>
          <w:color w:val="1A1A1A"/>
          <w:sz w:val="13"/>
        </w:rPr>
        <w:t xml:space="preserve">Abingdon, </w:t>
      </w:r>
      <w:r>
        <w:rPr>
          <w:sz w:val="13"/>
        </w:rPr>
        <w:t xml:space="preserve">USA </w:t>
      </w:r>
      <w:r>
        <w:rPr>
          <w:color w:val="131313"/>
          <w:sz w:val="13"/>
        </w:rPr>
        <w:t xml:space="preserve">Internal </w:t>
      </w:r>
      <w:r>
        <w:rPr>
          <w:color w:val="181818"/>
          <w:sz w:val="13"/>
        </w:rPr>
        <w:t xml:space="preserve">Medicine, </w:t>
      </w:r>
      <w:r>
        <w:rPr>
          <w:color w:val="1A1A1A"/>
          <w:sz w:val="13"/>
        </w:rPr>
        <w:t xml:space="preserve">Abington </w:t>
      </w:r>
      <w:r>
        <w:rPr>
          <w:color w:val="0E0E0E"/>
          <w:sz w:val="13"/>
        </w:rPr>
        <w:t xml:space="preserve">Memorial </w:t>
      </w:r>
      <w:r>
        <w:rPr>
          <w:color w:val="2F2F2F"/>
          <w:sz w:val="13"/>
        </w:rPr>
        <w:t xml:space="preserve">Hospital, </w:t>
      </w:r>
      <w:r>
        <w:rPr>
          <w:color w:val="2D2D2D"/>
          <w:sz w:val="13"/>
        </w:rPr>
        <w:t xml:space="preserve">Easton, </w:t>
      </w:r>
      <w:r>
        <w:rPr>
          <w:color w:val="4F4F4F"/>
          <w:sz w:val="13"/>
        </w:rPr>
        <w:t>USA</w:t>
      </w:r>
    </w:p>
    <w:p w:rsidR="00F13C1D" w:rsidRDefault="00F13C1D">
      <w:pPr>
        <w:pStyle w:val="BodyText"/>
        <w:spacing w:before="8"/>
        <w:rPr>
          <w:sz w:val="18"/>
        </w:rPr>
      </w:pPr>
    </w:p>
    <w:p w:rsidR="00F13C1D" w:rsidRDefault="00760D48">
      <w:pPr>
        <w:pStyle w:val="BodyText"/>
        <w:tabs>
          <w:tab w:val="left" w:pos="3134"/>
        </w:tabs>
        <w:spacing w:line="271" w:lineRule="auto"/>
        <w:ind w:left="2977" w:right="1591" w:hanging="354"/>
      </w:pPr>
      <w:r>
        <w:rPr>
          <w:color w:val="131313"/>
        </w:rPr>
        <w:t>B</w:t>
      </w:r>
      <w:r>
        <w:rPr>
          <w:color w:val="131313"/>
        </w:rPr>
        <w:tab/>
      </w:r>
      <w:r>
        <w:rPr>
          <w:color w:val="131313"/>
        </w:rPr>
        <w:tab/>
      </w:r>
      <w:r>
        <w:rPr>
          <w:w w:val="95"/>
        </w:rPr>
        <w:t>Corresponding</w:t>
      </w:r>
      <w:r>
        <w:rPr>
          <w:spacing w:val="-5"/>
          <w:w w:val="95"/>
        </w:rPr>
        <w:t xml:space="preserve"> </w:t>
      </w:r>
      <w:r>
        <w:rPr>
          <w:color w:val="181818"/>
          <w:w w:val="95"/>
        </w:rPr>
        <w:t>author:</w:t>
      </w:r>
      <w:r>
        <w:rPr>
          <w:color w:val="181818"/>
          <w:spacing w:val="-13"/>
          <w:w w:val="95"/>
        </w:rPr>
        <w:t xml:space="preserve"> </w:t>
      </w:r>
      <w:r>
        <w:rPr>
          <w:color w:val="232323"/>
          <w:w w:val="95"/>
        </w:rPr>
        <w:t>Hafez</w:t>
      </w:r>
      <w:r>
        <w:rPr>
          <w:color w:val="232323"/>
          <w:spacing w:val="-9"/>
          <w:w w:val="95"/>
        </w:rPr>
        <w:t xml:space="preserve"> </w:t>
      </w:r>
      <w:r>
        <w:rPr>
          <w:color w:val="212121"/>
          <w:w w:val="95"/>
        </w:rPr>
        <w:t>Mohammad</w:t>
      </w:r>
      <w:r>
        <w:rPr>
          <w:color w:val="212121"/>
          <w:spacing w:val="-7"/>
          <w:w w:val="95"/>
        </w:rPr>
        <w:t xml:space="preserve"> </w:t>
      </w:r>
      <w:r>
        <w:rPr>
          <w:color w:val="232323"/>
          <w:w w:val="95"/>
        </w:rPr>
        <w:t>Abdullah,</w:t>
      </w:r>
      <w:r>
        <w:rPr>
          <w:color w:val="232323"/>
          <w:spacing w:val="-10"/>
          <w:w w:val="95"/>
        </w:rPr>
        <w:t xml:space="preserve"> </w:t>
      </w:r>
      <w:hyperlink r:id="rId203">
        <w:r>
          <w:rPr>
            <w:color w:val="242424"/>
            <w:w w:val="95"/>
          </w:rPr>
          <w:t>dr.ammarabdullah@gmail.com</w:t>
        </w:r>
      </w:hyperlink>
      <w:r>
        <w:rPr>
          <w:color w:val="111111"/>
          <w:w w:val="95"/>
        </w:rPr>
        <w:t xml:space="preserve"> </w:t>
      </w:r>
      <w:r>
        <w:rPr>
          <w:color w:val="111111"/>
        </w:rPr>
        <w:t>Disclosures</w:t>
      </w:r>
      <w:r>
        <w:rPr>
          <w:color w:val="111111"/>
          <w:spacing w:val="-5"/>
        </w:rPr>
        <w:t xml:space="preserve"> </w:t>
      </w:r>
      <w:r>
        <w:rPr>
          <w:color w:val="1A1A1A"/>
        </w:rPr>
        <w:t>can</w:t>
      </w:r>
      <w:r>
        <w:rPr>
          <w:color w:val="1A1A1A"/>
          <w:spacing w:val="-10"/>
        </w:rPr>
        <w:t xml:space="preserve"> </w:t>
      </w:r>
      <w:r>
        <w:rPr>
          <w:color w:val="1F1F1F"/>
        </w:rPr>
        <w:t>be</w:t>
      </w:r>
      <w:r>
        <w:rPr>
          <w:color w:val="1F1F1F"/>
          <w:spacing w:val="-11"/>
        </w:rPr>
        <w:t xml:space="preserve"> </w:t>
      </w:r>
      <w:r>
        <w:rPr>
          <w:color w:val="1D1D1D"/>
        </w:rPr>
        <w:t>found</w:t>
      </w:r>
      <w:r>
        <w:rPr>
          <w:color w:val="1D1D1D"/>
          <w:spacing w:val="-10"/>
        </w:rPr>
        <w:t xml:space="preserve"> </w:t>
      </w:r>
      <w:r>
        <w:rPr>
          <w:color w:val="1F1F1F"/>
        </w:rPr>
        <w:t>in</w:t>
      </w:r>
      <w:r>
        <w:rPr>
          <w:color w:val="1F1F1F"/>
          <w:spacing w:val="-10"/>
        </w:rPr>
        <w:t xml:space="preserve"> </w:t>
      </w:r>
      <w:r>
        <w:rPr>
          <w:color w:val="1A1A1A"/>
        </w:rPr>
        <w:t>Additional</w:t>
      </w:r>
      <w:r>
        <w:rPr>
          <w:color w:val="1A1A1A"/>
          <w:spacing w:val="-7"/>
        </w:rPr>
        <w:t xml:space="preserve"> </w:t>
      </w:r>
      <w:r>
        <w:rPr>
          <w:color w:val="1F1F1F"/>
        </w:rPr>
        <w:t xml:space="preserve">Information </w:t>
      </w:r>
      <w:r>
        <w:rPr>
          <w:color w:val="212121"/>
        </w:rPr>
        <w:t>at</w:t>
      </w:r>
      <w:r>
        <w:rPr>
          <w:color w:val="212121"/>
          <w:spacing w:val="-4"/>
        </w:rPr>
        <w:t xml:space="preserve"> </w:t>
      </w:r>
      <w:r>
        <w:rPr>
          <w:color w:val="282828"/>
        </w:rPr>
        <w:t>the</w:t>
      </w:r>
      <w:r>
        <w:rPr>
          <w:color w:val="282828"/>
          <w:spacing w:val="-10"/>
        </w:rPr>
        <w:t xml:space="preserve"> </w:t>
      </w:r>
      <w:r>
        <w:rPr>
          <w:color w:val="262626"/>
        </w:rPr>
        <w:t>end</w:t>
      </w:r>
      <w:r>
        <w:rPr>
          <w:color w:val="262626"/>
          <w:spacing w:val="-10"/>
        </w:rPr>
        <w:t xml:space="preserve"> </w:t>
      </w:r>
      <w:r>
        <w:rPr>
          <w:color w:val="2D2D2D"/>
        </w:rPr>
        <w:t>of</w:t>
      </w:r>
      <w:r>
        <w:rPr>
          <w:color w:val="2D2D2D"/>
          <w:spacing w:val="-11"/>
        </w:rPr>
        <w:t xml:space="preserve"> </w:t>
      </w:r>
      <w:r>
        <w:rPr>
          <w:color w:val="343434"/>
        </w:rPr>
        <w:t>the</w:t>
      </w:r>
      <w:r>
        <w:rPr>
          <w:color w:val="343434"/>
          <w:spacing w:val="-9"/>
        </w:rPr>
        <w:t xml:space="preserve"> </w:t>
      </w:r>
      <w:r>
        <w:rPr>
          <w:color w:val="262626"/>
        </w:rPr>
        <w:t>article</w:t>
      </w:r>
    </w:p>
    <w:p w:rsidR="00F13C1D" w:rsidRDefault="001D2EC7">
      <w:pPr>
        <w:pStyle w:val="BodyText"/>
        <w:spacing w:before="1"/>
        <w:rPr>
          <w:sz w:val="22"/>
        </w:rPr>
      </w:pPr>
      <w:r>
        <w:pict>
          <v:shape id="_x0000_s1038" style="position:absolute;margin-left:216.8pt;margin-top:15.6pt;width:285.15pt;height:.1pt;z-index:-251658240;mso-wrap-distance-left:0;mso-wrap-distance-right:0;mso-position-horizontal-relative:page" coordorigin="4336,312" coordsize="5703,0" path="m4336,312r5703,e" filled="f" strokecolor="#232828" strokeweight=".47794mm">
            <v:path arrowok="t"/>
            <w10:wrap type="topAndBottom" anchorx="page"/>
          </v:shape>
        </w:pict>
      </w:r>
    </w:p>
    <w:p w:rsidR="00F13C1D" w:rsidRDefault="00760D48">
      <w:pPr>
        <w:spacing w:before="85"/>
        <w:ind w:left="2991"/>
        <w:rPr>
          <w:sz w:val="24"/>
        </w:rPr>
      </w:pPr>
      <w:r>
        <w:rPr>
          <w:color w:val="494949"/>
          <w:w w:val="105"/>
          <w:sz w:val="24"/>
        </w:rPr>
        <w:t>Absirac*</w:t>
      </w:r>
    </w:p>
    <w:p w:rsidR="00F13C1D" w:rsidRDefault="00760D48">
      <w:pPr>
        <w:pStyle w:val="BodyText"/>
        <w:spacing w:before="75" w:line="280" w:lineRule="auto"/>
        <w:ind w:left="2974" w:right="935" w:firstLine="3"/>
      </w:pPr>
      <w:r>
        <w:rPr>
          <w:color w:val="0E0E0E"/>
        </w:rPr>
        <w:t xml:space="preserve">Introduction: </w:t>
      </w:r>
      <w:r>
        <w:rPr>
          <w:color w:val="232323"/>
        </w:rPr>
        <w:t xml:space="preserve">The </w:t>
      </w:r>
      <w:r>
        <w:rPr>
          <w:color w:val="151515"/>
        </w:rPr>
        <w:t xml:space="preserve">aim </w:t>
      </w:r>
      <w:r>
        <w:rPr>
          <w:color w:val="2A2A2A"/>
        </w:rPr>
        <w:t xml:space="preserve">of </w:t>
      </w:r>
      <w:r>
        <w:rPr>
          <w:color w:val="161616"/>
        </w:rPr>
        <w:t xml:space="preserve">this </w:t>
      </w:r>
      <w:r>
        <w:rPr>
          <w:color w:val="212121"/>
        </w:rPr>
        <w:t xml:space="preserve">study </w:t>
      </w:r>
      <w:r>
        <w:rPr>
          <w:color w:val="1F1F1F"/>
        </w:rPr>
        <w:t xml:space="preserve">is </w:t>
      </w:r>
      <w:r>
        <w:rPr>
          <w:color w:val="2A2A2A"/>
        </w:rPr>
        <w:t xml:space="preserve">ter </w:t>
      </w:r>
      <w:r>
        <w:rPr>
          <w:color w:val="212121"/>
        </w:rPr>
        <w:t xml:space="preserve">determine </w:t>
      </w:r>
      <w:r>
        <w:rPr>
          <w:color w:val="343434"/>
        </w:rPr>
        <w:t xml:space="preserve">the </w:t>
      </w:r>
      <w:r>
        <w:rPr>
          <w:color w:val="1F1F1F"/>
        </w:rPr>
        <w:t xml:space="preserve">outcomes </w:t>
      </w:r>
      <w:r>
        <w:rPr>
          <w:color w:val="1C1C1C"/>
        </w:rPr>
        <w:t xml:space="preserve">following </w:t>
      </w:r>
      <w:r>
        <w:rPr>
          <w:color w:val="1F1F1F"/>
        </w:rPr>
        <w:t xml:space="preserve">coronary endarterectomy </w:t>
      </w:r>
      <w:r>
        <w:rPr>
          <w:color w:val="2D2D2D"/>
        </w:rPr>
        <w:t xml:space="preserve">(CE) in </w:t>
      </w:r>
      <w:r>
        <w:rPr>
          <w:color w:val="212121"/>
        </w:rPr>
        <w:t xml:space="preserve">patients </w:t>
      </w:r>
      <w:r>
        <w:rPr>
          <w:color w:val="2D2D2D"/>
        </w:rPr>
        <w:t xml:space="preserve">who </w:t>
      </w:r>
      <w:r>
        <w:rPr>
          <w:color w:val="232323"/>
        </w:rPr>
        <w:t xml:space="preserve">underwent </w:t>
      </w:r>
      <w:r>
        <w:rPr>
          <w:color w:val="1C1C1C"/>
        </w:rPr>
        <w:t xml:space="preserve">coronary </w:t>
      </w:r>
      <w:r>
        <w:rPr>
          <w:color w:val="1F1F1F"/>
        </w:rPr>
        <w:t xml:space="preserve">artery </w:t>
      </w:r>
      <w:r>
        <w:rPr>
          <w:color w:val="181818"/>
        </w:rPr>
        <w:t xml:space="preserve">bypass giafting </w:t>
      </w:r>
      <w:r>
        <w:rPr>
          <w:color w:val="282828"/>
        </w:rPr>
        <w:t xml:space="preserve">(CAßG) </w:t>
      </w:r>
      <w:r>
        <w:rPr>
          <w:color w:val="242424"/>
        </w:rPr>
        <w:t xml:space="preserve">for </w:t>
      </w:r>
      <w:r>
        <w:rPr>
          <w:color w:val="111111"/>
        </w:rPr>
        <w:t xml:space="preserve">revasculatization </w:t>
      </w:r>
      <w:r>
        <w:rPr>
          <w:color w:val="1C1C1C"/>
        </w:rPr>
        <w:t xml:space="preserve">in </w:t>
      </w:r>
      <w:r>
        <w:rPr>
          <w:color w:val="2A2A2A"/>
        </w:rPr>
        <w:t>our hospitaI.</w:t>
      </w:r>
    </w:p>
    <w:p w:rsidR="00F13C1D" w:rsidRDefault="00F13C1D">
      <w:pPr>
        <w:pStyle w:val="BodyText"/>
        <w:spacing w:before="8"/>
        <w:rPr>
          <w:sz w:val="19"/>
        </w:rPr>
      </w:pPr>
    </w:p>
    <w:p w:rsidR="00F13C1D" w:rsidRDefault="00760D48">
      <w:pPr>
        <w:pStyle w:val="BodyText"/>
        <w:spacing w:line="280" w:lineRule="auto"/>
        <w:ind w:left="2968" w:right="712" w:hanging="3"/>
      </w:pPr>
      <w:r>
        <w:rPr>
          <w:color w:val="1F1F1F"/>
        </w:rPr>
        <w:t xml:space="preserve">Methods: </w:t>
      </w:r>
      <w:r>
        <w:t xml:space="preserve">We </w:t>
      </w:r>
      <w:r>
        <w:rPr>
          <w:color w:val="1C1C1C"/>
        </w:rPr>
        <w:t xml:space="preserve">retrospectively </w:t>
      </w:r>
      <w:r>
        <w:rPr>
          <w:color w:val="232323"/>
        </w:rPr>
        <w:t xml:space="preserve">reviewed </w:t>
      </w:r>
      <w:r>
        <w:rPr>
          <w:color w:val="2D2D2D"/>
        </w:rPr>
        <w:t xml:space="preserve">patients who </w:t>
      </w:r>
      <w:r>
        <w:rPr>
          <w:color w:val="212121"/>
        </w:rPr>
        <w:t xml:space="preserve">underwent </w:t>
      </w:r>
      <w:r>
        <w:rPr>
          <w:color w:val="1C1C1C"/>
        </w:rPr>
        <w:t xml:space="preserve">CABG </w:t>
      </w:r>
      <w:r>
        <w:rPr>
          <w:color w:val="111111"/>
        </w:rPr>
        <w:t xml:space="preserve">over </w:t>
      </w:r>
      <w:r>
        <w:rPr>
          <w:color w:val="1A1A1A"/>
        </w:rPr>
        <w:t xml:space="preserve">a </w:t>
      </w:r>
      <w:r>
        <w:rPr>
          <w:color w:val="151515"/>
        </w:rPr>
        <w:t xml:space="preserve">six-month </w:t>
      </w:r>
      <w:r>
        <w:rPr>
          <w:color w:val="1C1C1C"/>
        </w:rPr>
        <w:t xml:space="preserve">period, </w:t>
      </w:r>
      <w:r>
        <w:rPr>
          <w:color w:val="1A1A1A"/>
        </w:rPr>
        <w:t xml:space="preserve">from </w:t>
      </w:r>
      <w:r>
        <w:rPr>
          <w:color w:val="161616"/>
        </w:rPr>
        <w:t xml:space="preserve">November </w:t>
      </w:r>
      <w:r>
        <w:rPr>
          <w:color w:val="1D1D1D"/>
        </w:rPr>
        <w:t xml:space="preserve">1, </w:t>
      </w:r>
      <w:r>
        <w:rPr>
          <w:color w:val="1C1C1C"/>
        </w:rPr>
        <w:t xml:space="preserve">2016 </w:t>
      </w:r>
      <w:r>
        <w:rPr>
          <w:color w:val="262626"/>
        </w:rPr>
        <w:t xml:space="preserve">to </w:t>
      </w:r>
      <w:r>
        <w:rPr>
          <w:color w:val="2A2A2A"/>
        </w:rPr>
        <w:t xml:space="preserve">May </w:t>
      </w:r>
      <w:r>
        <w:rPr>
          <w:color w:val="282828"/>
        </w:rPr>
        <w:t xml:space="preserve">31, </w:t>
      </w:r>
      <w:r>
        <w:rPr>
          <w:color w:val="2B2B2B"/>
        </w:rPr>
        <w:t xml:space="preserve">2017 </w:t>
      </w:r>
      <w:r>
        <w:rPr>
          <w:color w:val="282828"/>
        </w:rPr>
        <w:t xml:space="preserve">and </w:t>
      </w:r>
      <w:r>
        <w:rPr>
          <w:color w:val="262626"/>
        </w:rPr>
        <w:t xml:space="preserve">examined </w:t>
      </w:r>
      <w:r>
        <w:rPr>
          <w:color w:val="242424"/>
        </w:rPr>
        <w:t xml:space="preserve">their </w:t>
      </w:r>
      <w:r>
        <w:rPr>
          <w:color w:val="1F1F1F"/>
        </w:rPr>
        <w:t xml:space="preserve">outcomes </w:t>
      </w:r>
      <w:r>
        <w:rPr>
          <w:color w:val="343434"/>
        </w:rPr>
        <w:t xml:space="preserve">in </w:t>
      </w:r>
      <w:r>
        <w:rPr>
          <w:color w:val="161616"/>
        </w:rPr>
        <w:t xml:space="preserve">regards </w:t>
      </w:r>
      <w:r>
        <w:rPr>
          <w:color w:val="151515"/>
        </w:rPr>
        <w:t xml:space="preserve">to </w:t>
      </w:r>
      <w:r>
        <w:rPr>
          <w:color w:val="2B2B2B"/>
        </w:rPr>
        <w:t>CE.</w:t>
      </w:r>
    </w:p>
    <w:p w:rsidR="00F13C1D" w:rsidRDefault="00F13C1D">
      <w:pPr>
        <w:pStyle w:val="BodyText"/>
        <w:spacing w:before="3"/>
        <w:rPr>
          <w:sz w:val="19"/>
        </w:rPr>
      </w:pPr>
    </w:p>
    <w:p w:rsidR="00F13C1D" w:rsidRDefault="00760D48">
      <w:pPr>
        <w:pStyle w:val="BodyText"/>
        <w:spacing w:line="278" w:lineRule="auto"/>
        <w:ind w:left="2962" w:right="712" w:firstLine="3"/>
      </w:pPr>
      <w:r>
        <w:rPr>
          <w:color w:val="0A0A0A"/>
        </w:rPr>
        <w:t xml:space="preserve">Results: </w:t>
      </w:r>
      <w:r>
        <w:rPr>
          <w:color w:val="2A2A2A"/>
        </w:rPr>
        <w:t xml:space="preserve">A </w:t>
      </w:r>
      <w:r>
        <w:rPr>
          <w:color w:val="181818"/>
        </w:rPr>
        <w:t xml:space="preserve">total </w:t>
      </w:r>
      <w:r>
        <w:rPr>
          <w:color w:val="212121"/>
        </w:rPr>
        <w:t xml:space="preserve">of </w:t>
      </w:r>
      <w:r>
        <w:rPr>
          <w:color w:val="2A2A2A"/>
        </w:rPr>
        <w:t xml:space="preserve">(n=361) </w:t>
      </w:r>
      <w:r>
        <w:rPr>
          <w:color w:val="282828"/>
        </w:rPr>
        <w:t xml:space="preserve">CABG </w:t>
      </w:r>
      <w:r>
        <w:rPr>
          <w:color w:val="1C1C1C"/>
        </w:rPr>
        <w:t xml:space="preserve">procedures </w:t>
      </w:r>
      <w:r>
        <w:rPr>
          <w:color w:val="313131"/>
        </w:rPr>
        <w:t xml:space="preserve">were </w:t>
      </w:r>
      <w:r>
        <w:rPr>
          <w:color w:val="262626"/>
        </w:rPr>
        <w:t xml:space="preserve">performed </w:t>
      </w:r>
      <w:r>
        <w:rPr>
          <w:color w:val="3B3B3B"/>
        </w:rPr>
        <w:t xml:space="preserve">in </w:t>
      </w:r>
      <w:r>
        <w:rPr>
          <w:color w:val="2D2D2D"/>
        </w:rPr>
        <w:t xml:space="preserve">our </w:t>
      </w:r>
      <w:r>
        <w:rPr>
          <w:color w:val="1D1D1D"/>
        </w:rPr>
        <w:t xml:space="preserve">study </w:t>
      </w:r>
      <w:r>
        <w:rPr>
          <w:color w:val="0A0A0A"/>
        </w:rPr>
        <w:t xml:space="preserve">period, </w:t>
      </w:r>
      <w:r>
        <w:rPr>
          <w:color w:val="1D1D1D"/>
        </w:rPr>
        <w:t xml:space="preserve">though </w:t>
      </w:r>
      <w:r>
        <w:rPr>
          <w:color w:val="161616"/>
        </w:rPr>
        <w:t xml:space="preserve">complete </w:t>
      </w:r>
      <w:r>
        <w:rPr>
          <w:color w:val="212121"/>
        </w:rPr>
        <w:t xml:space="preserve">records </w:t>
      </w:r>
      <w:r>
        <w:rPr>
          <w:color w:val="232323"/>
        </w:rPr>
        <w:t xml:space="preserve">were </w:t>
      </w:r>
      <w:r>
        <w:rPr>
          <w:color w:val="282828"/>
        </w:rPr>
        <w:t xml:space="preserve">available </w:t>
      </w:r>
      <w:r>
        <w:rPr>
          <w:color w:val="343434"/>
        </w:rPr>
        <w:t xml:space="preserve">for </w:t>
      </w:r>
      <w:r>
        <w:rPr>
          <w:color w:val="2D2D2D"/>
        </w:rPr>
        <w:t xml:space="preserve">only </w:t>
      </w:r>
      <w:r>
        <w:rPr>
          <w:color w:val="2F2F2F"/>
        </w:rPr>
        <w:t xml:space="preserve">(n=254) </w:t>
      </w:r>
      <w:r>
        <w:rPr>
          <w:color w:val="262626"/>
        </w:rPr>
        <w:t xml:space="preserve">patients. </w:t>
      </w:r>
      <w:r>
        <w:rPr>
          <w:color w:val="282828"/>
        </w:rPr>
        <w:t xml:space="preserve">Amongst </w:t>
      </w:r>
      <w:r>
        <w:rPr>
          <w:color w:val="242424"/>
        </w:rPr>
        <w:t xml:space="preserve">these, </w:t>
      </w:r>
      <w:r>
        <w:rPr>
          <w:color w:val="1F1F1F"/>
        </w:rPr>
        <w:t xml:space="preserve">(n=37) </w:t>
      </w:r>
      <w:r>
        <w:rPr>
          <w:color w:val="181818"/>
        </w:rPr>
        <w:t xml:space="preserve">patients </w:t>
      </w:r>
      <w:r>
        <w:rPr>
          <w:color w:val="161616"/>
        </w:rPr>
        <w:t xml:space="preserve">(14.ST) </w:t>
      </w:r>
      <w:r>
        <w:rPr>
          <w:color w:val="232323"/>
        </w:rPr>
        <w:t xml:space="preserve">required </w:t>
      </w:r>
      <w:r>
        <w:rPr>
          <w:color w:val="161616"/>
        </w:rPr>
        <w:t xml:space="preserve">CX. </w:t>
      </w:r>
      <w:r>
        <w:rPr>
          <w:color w:val="242424"/>
        </w:rPr>
        <w:t xml:space="preserve">Ages </w:t>
      </w:r>
      <w:r>
        <w:rPr>
          <w:color w:val="2A2A2A"/>
        </w:rPr>
        <w:t xml:space="preserve">ranged </w:t>
      </w:r>
      <w:r>
        <w:rPr>
          <w:color w:val="2F2F2F"/>
        </w:rPr>
        <w:t xml:space="preserve">from </w:t>
      </w:r>
      <w:r>
        <w:rPr>
          <w:color w:val="2D2D2D"/>
        </w:rPr>
        <w:t xml:space="preserve">43 </w:t>
      </w:r>
      <w:r>
        <w:rPr>
          <w:color w:val="212121"/>
        </w:rPr>
        <w:t xml:space="preserve">to </w:t>
      </w:r>
      <w:r>
        <w:rPr>
          <w:color w:val="3B3B3B"/>
        </w:rPr>
        <w:t xml:space="preserve">75 </w:t>
      </w:r>
      <w:r>
        <w:rPr>
          <w:color w:val="313131"/>
        </w:rPr>
        <w:t xml:space="preserve">years </w:t>
      </w:r>
      <w:r>
        <w:rPr>
          <w:color w:val="363636"/>
        </w:rPr>
        <w:t xml:space="preserve">for </w:t>
      </w:r>
      <w:r>
        <w:rPr>
          <w:color w:val="333333"/>
        </w:rPr>
        <w:t xml:space="preserve">these </w:t>
      </w:r>
      <w:r>
        <w:rPr>
          <w:color w:val="1D1D1D"/>
        </w:rPr>
        <w:t xml:space="preserve">patients, </w:t>
      </w:r>
      <w:r>
        <w:rPr>
          <w:color w:val="232323"/>
        </w:rPr>
        <w:t xml:space="preserve">(n•7) </w:t>
      </w:r>
      <w:r>
        <w:rPr>
          <w:color w:val="282828"/>
        </w:rPr>
        <w:t xml:space="preserve">were </w:t>
      </w:r>
      <w:r>
        <w:rPr>
          <w:color w:val="262626"/>
        </w:rPr>
        <w:t xml:space="preserve">females </w:t>
      </w:r>
      <w:r>
        <w:rPr>
          <w:color w:val="313131"/>
        </w:rPr>
        <w:t xml:space="preserve">and </w:t>
      </w:r>
      <w:r>
        <w:rPr>
          <w:color w:val="282828"/>
        </w:rPr>
        <w:t xml:space="preserve">(n=30) </w:t>
      </w:r>
      <w:r>
        <w:rPr>
          <w:color w:val="111111"/>
        </w:rPr>
        <w:t xml:space="preserve">males. </w:t>
      </w:r>
      <w:r>
        <w:rPr>
          <w:color w:val="2F2F2F"/>
        </w:rPr>
        <w:t xml:space="preserve">Comorbidities </w:t>
      </w:r>
      <w:r>
        <w:rPr>
          <w:color w:val="1F1F1F"/>
        </w:rPr>
        <w:t xml:space="preserve">included </w:t>
      </w:r>
      <w:r>
        <w:rPr>
          <w:color w:val="262626"/>
        </w:rPr>
        <w:t xml:space="preserve">hypertension </w:t>
      </w:r>
      <w:r>
        <w:rPr>
          <w:color w:val="424242"/>
        </w:rPr>
        <w:t xml:space="preserve">in </w:t>
      </w:r>
      <w:r>
        <w:rPr>
          <w:color w:val="383838"/>
        </w:rPr>
        <w:t>(n=</w:t>
      </w:r>
      <w:r>
        <w:rPr>
          <w:color w:val="282828"/>
        </w:rPr>
        <w:t xml:space="preserve">19) </w:t>
      </w:r>
      <w:r>
        <w:rPr>
          <w:color w:val="2D2D2D"/>
        </w:rPr>
        <w:t xml:space="preserve">patients, </w:t>
      </w:r>
      <w:r>
        <w:rPr>
          <w:color w:val="1D1D1D"/>
        </w:rPr>
        <w:t xml:space="preserve">diabetes </w:t>
      </w:r>
      <w:r>
        <w:rPr>
          <w:color w:val="2F2F2F"/>
        </w:rPr>
        <w:t xml:space="preserve">in </w:t>
      </w:r>
      <w:r>
        <w:rPr>
          <w:color w:val="212121"/>
        </w:rPr>
        <w:t xml:space="preserve">(n=12) </w:t>
      </w:r>
      <w:r>
        <w:rPr>
          <w:color w:val="161616"/>
        </w:rPr>
        <w:t xml:space="preserve">patients </w:t>
      </w:r>
      <w:r>
        <w:rPr>
          <w:color w:val="1F1F1F"/>
        </w:rPr>
        <w:t xml:space="preserve">and </w:t>
      </w:r>
      <w:r>
        <w:rPr>
          <w:color w:val="1A1A1A"/>
        </w:rPr>
        <w:t xml:space="preserve">hepatitis </w:t>
      </w:r>
      <w:r>
        <w:rPr>
          <w:color w:val="3B3B3B"/>
        </w:rPr>
        <w:t xml:space="preserve">B </w:t>
      </w:r>
      <w:r>
        <w:rPr>
          <w:color w:val="2F2F2F"/>
        </w:rPr>
        <w:t xml:space="preserve">in </w:t>
      </w:r>
      <w:r>
        <w:rPr>
          <w:color w:val="333333"/>
        </w:rPr>
        <w:t xml:space="preserve">(n=11) </w:t>
      </w:r>
      <w:r>
        <w:rPr>
          <w:color w:val="2B2B2B"/>
        </w:rPr>
        <w:t xml:space="preserve">patients. </w:t>
      </w:r>
      <w:r>
        <w:rPr>
          <w:color w:val="3B3B3B"/>
        </w:rPr>
        <w:t xml:space="preserve">The </w:t>
      </w:r>
      <w:r>
        <w:rPr>
          <w:color w:val="232323"/>
        </w:rPr>
        <w:t xml:space="preserve">right </w:t>
      </w:r>
      <w:r>
        <w:rPr>
          <w:color w:val="1F1F1F"/>
        </w:rPr>
        <w:t xml:space="preserve">coronary </w:t>
      </w:r>
      <w:r>
        <w:rPr>
          <w:color w:val="343434"/>
        </w:rPr>
        <w:t xml:space="preserve">anery </w:t>
      </w:r>
      <w:r>
        <w:rPr>
          <w:color w:val="383838"/>
        </w:rPr>
        <w:t xml:space="preserve">(RCA) </w:t>
      </w:r>
      <w:r>
        <w:rPr>
          <w:color w:val="2A2A2A"/>
        </w:rPr>
        <w:t xml:space="preserve">was </w:t>
      </w:r>
      <w:r>
        <w:rPr>
          <w:color w:val="383838"/>
        </w:rPr>
        <w:t xml:space="preserve">the </w:t>
      </w:r>
      <w:r>
        <w:rPr>
          <w:color w:val="2F2F2F"/>
        </w:rPr>
        <w:t xml:space="preserve">most </w:t>
      </w:r>
      <w:r>
        <w:rPr>
          <w:color w:val="151515"/>
        </w:rPr>
        <w:t xml:space="preserve">common </w:t>
      </w:r>
      <w:r>
        <w:rPr>
          <w:color w:val="282828"/>
        </w:rPr>
        <w:t xml:space="preserve">artery </w:t>
      </w:r>
      <w:r>
        <w:rPr>
          <w:color w:val="1C1C1C"/>
        </w:rPr>
        <w:t xml:space="preserve">endarterectomized </w:t>
      </w:r>
      <w:r>
        <w:rPr>
          <w:color w:val="3A3A3A"/>
        </w:rPr>
        <w:t xml:space="preserve">(n= </w:t>
      </w:r>
      <w:r>
        <w:rPr>
          <w:color w:val="242424"/>
        </w:rPr>
        <w:t xml:space="preserve">IS), </w:t>
      </w:r>
      <w:r>
        <w:rPr>
          <w:color w:val="2F2F2F"/>
        </w:rPr>
        <w:t xml:space="preserve">followed </w:t>
      </w:r>
      <w:r>
        <w:rPr>
          <w:color w:val="3B3B3B"/>
        </w:rPr>
        <w:t xml:space="preserve">by </w:t>
      </w:r>
      <w:r>
        <w:rPr>
          <w:color w:val="2A2A2A"/>
        </w:rPr>
        <w:t xml:space="preserve">the </w:t>
      </w:r>
      <w:r>
        <w:rPr>
          <w:color w:val="262626"/>
        </w:rPr>
        <w:t xml:space="preserve">left </w:t>
      </w:r>
      <w:r>
        <w:rPr>
          <w:color w:val="363636"/>
        </w:rPr>
        <w:t xml:space="preserve">anterior </w:t>
      </w:r>
      <w:r>
        <w:rPr>
          <w:color w:val="2D2D2D"/>
        </w:rPr>
        <w:t xml:space="preserve">descending </w:t>
      </w:r>
      <w:r>
        <w:rPr>
          <w:color w:val="2F2F2F"/>
        </w:rPr>
        <w:t xml:space="preserve">(LAD) </w:t>
      </w:r>
      <w:r>
        <w:rPr>
          <w:color w:val="3B3B3B"/>
        </w:rPr>
        <w:t xml:space="preserve">(n= </w:t>
      </w:r>
      <w:r>
        <w:rPr>
          <w:color w:val="1F1F1F"/>
        </w:rPr>
        <w:t xml:space="preserve">10), </w:t>
      </w:r>
      <w:r>
        <w:rPr>
          <w:color w:val="1A1A1A"/>
        </w:rPr>
        <w:t xml:space="preserve">obtuse </w:t>
      </w:r>
      <w:r>
        <w:rPr>
          <w:color w:val="1C1C1C"/>
        </w:rPr>
        <w:t xml:space="preserve">marginal </w:t>
      </w:r>
      <w:r>
        <w:rPr>
          <w:color w:val="2B2B2B"/>
        </w:rPr>
        <w:t xml:space="preserve">(n• </w:t>
      </w:r>
      <w:r>
        <w:rPr>
          <w:color w:val="363636"/>
        </w:rPr>
        <w:t xml:space="preserve">6 </w:t>
      </w:r>
      <w:r>
        <w:rPr>
          <w:color w:val="232323"/>
        </w:rPr>
        <w:t xml:space="preserve">patients), </w:t>
      </w:r>
      <w:r>
        <w:rPr>
          <w:color w:val="1C1C1C"/>
        </w:rPr>
        <w:t xml:space="preserve">diagonals </w:t>
      </w:r>
      <w:r>
        <w:rPr>
          <w:color w:val="2F2F2F"/>
        </w:rPr>
        <w:t xml:space="preserve">(n-5) </w:t>
      </w:r>
      <w:r>
        <w:rPr>
          <w:color w:val="3B3B3B"/>
        </w:rPr>
        <w:t xml:space="preserve">and </w:t>
      </w:r>
      <w:r>
        <w:rPr>
          <w:color w:val="2D2D2D"/>
        </w:rPr>
        <w:t xml:space="preserve">ramus (n•2). </w:t>
      </w:r>
      <w:r>
        <w:rPr>
          <w:color w:val="3B3B3B"/>
        </w:rPr>
        <w:t xml:space="preserve">Two </w:t>
      </w:r>
      <w:r>
        <w:rPr>
          <w:color w:val="2D2D2D"/>
        </w:rPr>
        <w:t xml:space="preserve">vessels </w:t>
      </w:r>
      <w:r>
        <w:rPr>
          <w:color w:val="212121"/>
        </w:rPr>
        <w:t xml:space="preserve">were </w:t>
      </w:r>
      <w:r>
        <w:rPr>
          <w:color w:val="0E0E0E"/>
        </w:rPr>
        <w:t xml:space="preserve">endarterectomized </w:t>
      </w:r>
      <w:r>
        <w:rPr>
          <w:color w:val="1D1D1D"/>
        </w:rPr>
        <w:t xml:space="preserve">in </w:t>
      </w:r>
      <w:r>
        <w:rPr>
          <w:color w:val="313131"/>
        </w:rPr>
        <w:t xml:space="preserve">(n=4) </w:t>
      </w:r>
      <w:r>
        <w:rPr>
          <w:color w:val="282828"/>
        </w:rPr>
        <w:t xml:space="preserve">patients. </w:t>
      </w:r>
      <w:r>
        <w:rPr>
          <w:color w:val="383838"/>
        </w:rPr>
        <w:t xml:space="preserve">A </w:t>
      </w:r>
      <w:r>
        <w:rPr>
          <w:color w:val="282828"/>
        </w:rPr>
        <w:t xml:space="preserve">total </w:t>
      </w:r>
      <w:r>
        <w:rPr>
          <w:color w:val="424242"/>
        </w:rPr>
        <w:t xml:space="preserve">of </w:t>
      </w:r>
      <w:r>
        <w:rPr>
          <w:color w:val="363636"/>
        </w:rPr>
        <w:t xml:space="preserve">(n-9) </w:t>
      </w:r>
      <w:r>
        <w:rPr>
          <w:color w:val="383838"/>
        </w:rPr>
        <w:t xml:space="preserve">patients </w:t>
      </w:r>
      <w:r>
        <w:rPr>
          <w:color w:val="2A2A2A"/>
        </w:rPr>
        <w:t xml:space="preserve">had </w:t>
      </w:r>
      <w:r>
        <w:rPr>
          <w:color w:val="242424"/>
        </w:rPr>
        <w:t xml:space="preserve">two-vessel </w:t>
      </w:r>
      <w:r>
        <w:rPr>
          <w:color w:val="363636"/>
        </w:rPr>
        <w:t xml:space="preserve">CABG, (n=l6) </w:t>
      </w:r>
      <w:r>
        <w:rPr>
          <w:color w:val="3F3F3F"/>
        </w:rPr>
        <w:t xml:space="preserve">had </w:t>
      </w:r>
      <w:r>
        <w:rPr>
          <w:color w:val="161616"/>
        </w:rPr>
        <w:t xml:space="preserve">three-vessel </w:t>
      </w:r>
      <w:r>
        <w:rPr>
          <w:color w:val="1F1F1F"/>
        </w:rPr>
        <w:t xml:space="preserve">CAßG </w:t>
      </w:r>
      <w:r>
        <w:rPr>
          <w:color w:val="343434"/>
        </w:rPr>
        <w:t xml:space="preserve">and </w:t>
      </w:r>
      <w:r>
        <w:rPr>
          <w:color w:val="2D2D2D"/>
        </w:rPr>
        <w:t xml:space="preserve">(n-8) </w:t>
      </w:r>
      <w:r>
        <w:rPr>
          <w:color w:val="2F2F2F"/>
        </w:rPr>
        <w:t xml:space="preserve">had </w:t>
      </w:r>
      <w:r>
        <w:rPr>
          <w:color w:val="1C1C1C"/>
        </w:rPr>
        <w:t xml:space="preserve">four-vessel </w:t>
      </w:r>
      <w:r>
        <w:rPr>
          <w:color w:val="363636"/>
        </w:rPr>
        <w:t xml:space="preserve">CAßG. </w:t>
      </w:r>
      <w:r>
        <w:rPr>
          <w:color w:val="2D2D2D"/>
        </w:rPr>
        <w:t xml:space="preserve">The </w:t>
      </w:r>
      <w:r>
        <w:rPr>
          <w:color w:val="262626"/>
        </w:rPr>
        <w:t xml:space="preserve">leff </w:t>
      </w:r>
      <w:r>
        <w:rPr>
          <w:color w:val="282828"/>
        </w:rPr>
        <w:t xml:space="preserve">internal </w:t>
      </w:r>
      <w:r>
        <w:rPr>
          <w:color w:val="2B2B2B"/>
        </w:rPr>
        <w:t xml:space="preserve">mammary </w:t>
      </w:r>
      <w:r>
        <w:rPr>
          <w:color w:val="262626"/>
        </w:rPr>
        <w:t xml:space="preserve">artery </w:t>
      </w:r>
      <w:r>
        <w:rPr>
          <w:color w:val="3B3B3B"/>
        </w:rPr>
        <w:t xml:space="preserve">(LIMA) </w:t>
      </w:r>
      <w:r>
        <w:rPr>
          <w:color w:val="232323"/>
        </w:rPr>
        <w:t xml:space="preserve">was </w:t>
      </w:r>
      <w:r>
        <w:rPr>
          <w:color w:val="161616"/>
        </w:rPr>
        <w:t xml:space="preserve">used </w:t>
      </w:r>
      <w:r>
        <w:t xml:space="preserve">in </w:t>
      </w:r>
      <w:r>
        <w:rPr>
          <w:color w:val="232323"/>
        </w:rPr>
        <w:t xml:space="preserve">(n=25) </w:t>
      </w:r>
      <w:r>
        <w:rPr>
          <w:color w:val="1A1A1A"/>
        </w:rPr>
        <w:t xml:space="preserve">patients. </w:t>
      </w:r>
      <w:r>
        <w:rPr>
          <w:color w:val="2D2D2D"/>
        </w:rPr>
        <w:t xml:space="preserve">Two </w:t>
      </w:r>
      <w:r>
        <w:rPr>
          <w:color w:val="181818"/>
        </w:rPr>
        <w:t xml:space="preserve">patients </w:t>
      </w:r>
      <w:r>
        <w:rPr>
          <w:color w:val="383838"/>
        </w:rPr>
        <w:t xml:space="preserve">required </w:t>
      </w:r>
      <w:r>
        <w:rPr>
          <w:color w:val="2D2D2D"/>
        </w:rPr>
        <w:t xml:space="preserve">intra-aortic </w:t>
      </w:r>
      <w:r>
        <w:rPr>
          <w:color w:val="2F2F2F"/>
        </w:rPr>
        <w:t xml:space="preserve">balloon </w:t>
      </w:r>
      <w:r>
        <w:rPr>
          <w:color w:val="2A2A2A"/>
        </w:rPr>
        <w:t xml:space="preserve">purnp </w:t>
      </w:r>
      <w:r>
        <w:rPr>
          <w:color w:val="242424"/>
        </w:rPr>
        <w:t xml:space="preserve">post-operatively. </w:t>
      </w:r>
      <w:r>
        <w:rPr>
          <w:color w:val="181818"/>
        </w:rPr>
        <w:t xml:space="preserve">All </w:t>
      </w:r>
      <w:r>
        <w:rPr>
          <w:color w:val="1C1C1C"/>
        </w:rPr>
        <w:t xml:space="preserve">the </w:t>
      </w:r>
      <w:r>
        <w:rPr>
          <w:color w:val="1A1A1A"/>
        </w:rPr>
        <w:t xml:space="preserve">patients </w:t>
      </w:r>
      <w:r>
        <w:rPr>
          <w:color w:val="181818"/>
        </w:rPr>
        <w:t xml:space="preserve">had </w:t>
      </w:r>
      <w:r>
        <w:rPr>
          <w:color w:val="212121"/>
        </w:rPr>
        <w:t xml:space="preserve">received </w:t>
      </w:r>
      <w:r>
        <w:rPr>
          <w:color w:val="232323"/>
        </w:rPr>
        <w:t xml:space="preserve">inDtropic </w:t>
      </w:r>
      <w:r>
        <w:rPr>
          <w:color w:val="212121"/>
        </w:rPr>
        <w:t xml:space="preserve">support </w:t>
      </w:r>
      <w:r>
        <w:rPr>
          <w:color w:val="2F2F2F"/>
        </w:rPr>
        <w:t xml:space="preserve">postoperatively </w:t>
      </w:r>
      <w:r>
        <w:rPr>
          <w:color w:val="282828"/>
        </w:rPr>
        <w:t xml:space="preserve">in </w:t>
      </w:r>
      <w:r>
        <w:rPr>
          <w:color w:val="242424"/>
        </w:rPr>
        <w:t xml:space="preserve">the </w:t>
      </w:r>
      <w:r>
        <w:rPr>
          <w:color w:val="2D2D2D"/>
        </w:rPr>
        <w:t xml:space="preserve">intensive </w:t>
      </w:r>
      <w:r>
        <w:rPr>
          <w:color w:val="3F3F3F"/>
        </w:rPr>
        <w:t xml:space="preserve">care </w:t>
      </w:r>
      <w:r>
        <w:rPr>
          <w:color w:val="424242"/>
        </w:rPr>
        <w:t xml:space="preserve">unit </w:t>
      </w:r>
      <w:r>
        <w:rPr>
          <w:color w:val="494949"/>
        </w:rPr>
        <w:t xml:space="preserve">(ICU). </w:t>
      </w:r>
      <w:r>
        <w:rPr>
          <w:color w:val="1F1F1F"/>
        </w:rPr>
        <w:t xml:space="preserve">There </w:t>
      </w:r>
      <w:r>
        <w:rPr>
          <w:color w:val="1A1A1A"/>
        </w:rPr>
        <w:t xml:space="preserve">were </w:t>
      </w:r>
      <w:r>
        <w:rPr>
          <w:color w:val="1C1C1C"/>
        </w:rPr>
        <w:t xml:space="preserve">no </w:t>
      </w:r>
      <w:r>
        <w:rPr>
          <w:color w:val="161616"/>
        </w:rPr>
        <w:t xml:space="preserve">reports </w:t>
      </w:r>
      <w:r>
        <w:rPr>
          <w:color w:val="1F1F1F"/>
        </w:rPr>
        <w:t xml:space="preserve">of </w:t>
      </w:r>
      <w:r>
        <w:rPr>
          <w:color w:val="232323"/>
        </w:rPr>
        <w:t xml:space="preserve">postoperative </w:t>
      </w:r>
      <w:r>
        <w:rPr>
          <w:color w:val="242424"/>
        </w:rPr>
        <w:t xml:space="preserve">mortality. </w:t>
      </w:r>
      <w:r>
        <w:rPr>
          <w:color w:val="2F2F2F"/>
        </w:rPr>
        <w:t xml:space="preserve">One </w:t>
      </w:r>
      <w:r>
        <w:rPr>
          <w:color w:val="282828"/>
        </w:rPr>
        <w:t xml:space="preserve">patient </w:t>
      </w:r>
      <w:r>
        <w:rPr>
          <w:color w:val="262626"/>
        </w:rPr>
        <w:t xml:space="preserve">remained </w:t>
      </w:r>
      <w:r>
        <w:rPr>
          <w:color w:val="3A3A3A"/>
        </w:rPr>
        <w:t xml:space="preserve">in </w:t>
      </w:r>
      <w:r>
        <w:rPr>
          <w:color w:val="2D2D2D"/>
        </w:rPr>
        <w:t xml:space="preserve">the </w:t>
      </w:r>
      <w:r>
        <w:rPr>
          <w:color w:val="2F2F2F"/>
        </w:rPr>
        <w:t xml:space="preserve">ICU </w:t>
      </w:r>
      <w:r>
        <w:rPr>
          <w:color w:val="313131"/>
        </w:rPr>
        <w:t xml:space="preserve">for </w:t>
      </w:r>
      <w:r>
        <w:rPr>
          <w:color w:val="2F2F2F"/>
        </w:rPr>
        <w:t xml:space="preserve">four </w:t>
      </w:r>
      <w:r>
        <w:rPr>
          <w:color w:val="3B3B3B"/>
        </w:rPr>
        <w:t xml:space="preserve">days </w:t>
      </w:r>
      <w:r>
        <w:rPr>
          <w:color w:val="0E0E0E"/>
        </w:rPr>
        <w:t xml:space="preserve">postoperatively, </w:t>
      </w:r>
      <w:r>
        <w:rPr>
          <w:color w:val="282828"/>
        </w:rPr>
        <w:t xml:space="preserve">the </w:t>
      </w:r>
      <w:r>
        <w:rPr>
          <w:color w:val="232323"/>
        </w:rPr>
        <w:t xml:space="preserve">rest </w:t>
      </w:r>
      <w:r>
        <w:rPr>
          <w:color w:val="1C1C1C"/>
        </w:rPr>
        <w:t xml:space="preserve">of </w:t>
      </w:r>
      <w:r>
        <w:rPr>
          <w:color w:val="282828"/>
        </w:rPr>
        <w:t xml:space="preserve">the </w:t>
      </w:r>
      <w:r>
        <w:rPr>
          <w:color w:val="161616"/>
        </w:rPr>
        <w:t xml:space="preserve">patients </w:t>
      </w:r>
      <w:r>
        <w:rPr>
          <w:color w:val="1F1F1F"/>
        </w:rPr>
        <w:t xml:space="preserve">were </w:t>
      </w:r>
      <w:r>
        <w:rPr>
          <w:color w:val="2B2B2B"/>
        </w:rPr>
        <w:t xml:space="preserve">stepped </w:t>
      </w:r>
      <w:r>
        <w:rPr>
          <w:color w:val="232323"/>
        </w:rPr>
        <w:t xml:space="preserve">down </w:t>
      </w:r>
      <w:r>
        <w:rPr>
          <w:color w:val="212121"/>
        </w:rPr>
        <w:t xml:space="preserve">to the </w:t>
      </w:r>
      <w:r>
        <w:rPr>
          <w:color w:val="242424"/>
        </w:rPr>
        <w:t xml:space="preserve">ward </w:t>
      </w:r>
      <w:r>
        <w:rPr>
          <w:color w:val="313131"/>
        </w:rPr>
        <w:t xml:space="preserve">in </w:t>
      </w:r>
      <w:r>
        <w:rPr>
          <w:color w:val="1A1A1A"/>
        </w:rPr>
        <w:t xml:space="preserve">less </w:t>
      </w:r>
      <w:r>
        <w:rPr>
          <w:color w:val="333333"/>
        </w:rPr>
        <w:t xml:space="preserve">than </w:t>
      </w:r>
      <w:r>
        <w:rPr>
          <w:color w:val="424242"/>
        </w:rPr>
        <w:t xml:space="preserve">four </w:t>
      </w:r>
      <w:r>
        <w:rPr>
          <w:color w:val="464646"/>
        </w:rPr>
        <w:t>days.</w:t>
      </w:r>
    </w:p>
    <w:p w:rsidR="00F13C1D" w:rsidRDefault="00F13C1D">
      <w:pPr>
        <w:spacing w:line="278" w:lineRule="auto"/>
        <w:sectPr w:rsidR="00F13C1D">
          <w:type w:val="continuous"/>
          <w:pgSz w:w="12240" w:h="15840"/>
          <w:pgMar w:top="1500" w:right="1480" w:bottom="280" w:left="1340" w:header="720" w:footer="720" w:gutter="0"/>
          <w:cols w:space="720"/>
        </w:sectPr>
      </w:pPr>
    </w:p>
    <w:p w:rsidR="00F13C1D" w:rsidRDefault="00F13C1D">
      <w:pPr>
        <w:pStyle w:val="BodyText"/>
        <w:spacing w:before="9"/>
        <w:rPr>
          <w:sz w:val="16"/>
        </w:rPr>
      </w:pPr>
    </w:p>
    <w:p w:rsidR="00F13C1D" w:rsidRDefault="00760D48">
      <w:pPr>
        <w:spacing w:line="300" w:lineRule="auto"/>
        <w:ind w:left="1014" w:right="305"/>
        <w:rPr>
          <w:rFonts w:ascii="Arial"/>
          <w:sz w:val="11"/>
        </w:rPr>
      </w:pPr>
      <w:r>
        <w:rPr>
          <w:rFonts w:ascii="Arial"/>
          <w:color w:val="161616"/>
          <w:sz w:val="11"/>
        </w:rPr>
        <w:t xml:space="preserve">Received </w:t>
      </w:r>
      <w:r>
        <w:rPr>
          <w:rFonts w:ascii="Arial"/>
          <w:color w:val="1C1C1C"/>
          <w:sz w:val="11"/>
        </w:rPr>
        <w:t xml:space="preserve">03/07/2019 </w:t>
      </w:r>
      <w:r>
        <w:rPr>
          <w:rFonts w:ascii="Arial"/>
          <w:color w:val="131313"/>
          <w:w w:val="95"/>
          <w:sz w:val="11"/>
        </w:rPr>
        <w:t xml:space="preserve">Review </w:t>
      </w:r>
      <w:r>
        <w:rPr>
          <w:rFonts w:ascii="Arial"/>
          <w:color w:val="181818"/>
          <w:w w:val="95"/>
          <w:sz w:val="11"/>
        </w:rPr>
        <w:t xml:space="preserve">began 03/13/2019 </w:t>
      </w:r>
      <w:r>
        <w:rPr>
          <w:rFonts w:ascii="Arial"/>
          <w:w w:val="95"/>
          <w:sz w:val="11"/>
        </w:rPr>
        <w:t xml:space="preserve">Review </w:t>
      </w:r>
      <w:r>
        <w:rPr>
          <w:rFonts w:ascii="Arial"/>
          <w:color w:val="111111"/>
          <w:w w:val="95"/>
          <w:sz w:val="11"/>
        </w:rPr>
        <w:t xml:space="preserve">ended </w:t>
      </w:r>
      <w:r>
        <w:rPr>
          <w:rFonts w:ascii="Arial"/>
          <w:color w:val="212121"/>
          <w:w w:val="95"/>
          <w:sz w:val="11"/>
        </w:rPr>
        <w:t>03/18/20</w:t>
      </w:r>
      <w:r>
        <w:rPr>
          <w:rFonts w:ascii="Arial"/>
          <w:color w:val="262626"/>
          <w:w w:val="95"/>
          <w:sz w:val="11"/>
        </w:rPr>
        <w:t xml:space="preserve">19 </w:t>
      </w:r>
      <w:r>
        <w:rPr>
          <w:rFonts w:ascii="Arial"/>
          <w:color w:val="242424"/>
          <w:sz w:val="11"/>
        </w:rPr>
        <w:t xml:space="preserve">Published </w:t>
      </w:r>
      <w:r>
        <w:rPr>
          <w:rFonts w:ascii="Arial"/>
          <w:color w:val="232323"/>
          <w:sz w:val="11"/>
        </w:rPr>
        <w:t>03/19/2019</w:t>
      </w:r>
    </w:p>
    <w:p w:rsidR="00F13C1D" w:rsidRDefault="00760D48">
      <w:pPr>
        <w:spacing w:before="81"/>
        <w:ind w:left="1122"/>
        <w:rPr>
          <w:rFonts w:ascii="Arial Black"/>
          <w:sz w:val="11"/>
        </w:rPr>
      </w:pPr>
      <w:r>
        <w:rPr>
          <w:rFonts w:ascii="Arial Black"/>
          <w:color w:val="232323"/>
          <w:w w:val="85"/>
          <w:sz w:val="11"/>
        </w:rPr>
        <w:t xml:space="preserve">Copyright </w:t>
      </w:r>
      <w:r>
        <w:rPr>
          <w:rFonts w:ascii="Arial Black"/>
          <w:color w:val="363636"/>
          <w:w w:val="85"/>
          <w:sz w:val="11"/>
        </w:rPr>
        <w:t>2019</w:t>
      </w:r>
    </w:p>
    <w:p w:rsidR="00F13C1D" w:rsidRDefault="00760D48">
      <w:pPr>
        <w:spacing w:before="26" w:line="295" w:lineRule="auto"/>
        <w:ind w:left="1013" w:right="-7" w:firstLine="4"/>
        <w:rPr>
          <w:rFonts w:ascii="Arial"/>
          <w:sz w:val="11"/>
        </w:rPr>
      </w:pPr>
      <w:r>
        <w:rPr>
          <w:rFonts w:ascii="Arial"/>
          <w:color w:val="2B2B2B"/>
          <w:w w:val="90"/>
          <w:sz w:val="11"/>
        </w:rPr>
        <w:t>AbdulTal''</w:t>
      </w:r>
      <w:r>
        <w:rPr>
          <w:rFonts w:ascii="Arial"/>
          <w:color w:val="2B2B2B"/>
          <w:spacing w:val="-10"/>
          <w:w w:val="90"/>
          <w:sz w:val="11"/>
        </w:rPr>
        <w:t xml:space="preserve"> </w:t>
      </w:r>
      <w:r>
        <w:rPr>
          <w:rFonts w:ascii="Arial"/>
          <w:color w:val="2B2B2B"/>
          <w:w w:val="90"/>
          <w:sz w:val="11"/>
        </w:rPr>
        <w:t>et</w:t>
      </w:r>
      <w:r>
        <w:rPr>
          <w:rFonts w:ascii="Arial"/>
          <w:color w:val="2B2B2B"/>
          <w:spacing w:val="-12"/>
          <w:w w:val="90"/>
          <w:sz w:val="11"/>
        </w:rPr>
        <w:t xml:space="preserve"> </w:t>
      </w:r>
      <w:r>
        <w:rPr>
          <w:rFonts w:ascii="Arial"/>
          <w:color w:val="3A3A3A"/>
          <w:w w:val="90"/>
          <w:sz w:val="11"/>
        </w:rPr>
        <w:t>aT.</w:t>
      </w:r>
      <w:r>
        <w:rPr>
          <w:rFonts w:ascii="Arial"/>
          <w:color w:val="3A3A3A"/>
          <w:spacing w:val="-16"/>
          <w:w w:val="90"/>
          <w:sz w:val="11"/>
        </w:rPr>
        <w:t xml:space="preserve"> </w:t>
      </w:r>
      <w:r>
        <w:rPr>
          <w:rFonts w:ascii="Arial"/>
          <w:color w:val="3A3A3A"/>
          <w:w w:val="90"/>
          <w:sz w:val="11"/>
        </w:rPr>
        <w:t>This</w:t>
      </w:r>
      <w:r>
        <w:rPr>
          <w:rFonts w:ascii="Arial"/>
          <w:color w:val="3A3A3A"/>
          <w:spacing w:val="-14"/>
          <w:w w:val="90"/>
          <w:sz w:val="11"/>
        </w:rPr>
        <w:t xml:space="preserve"> </w:t>
      </w:r>
      <w:r>
        <w:rPr>
          <w:rFonts w:ascii="Arial"/>
          <w:color w:val="333333"/>
          <w:w w:val="90"/>
          <w:sz w:val="11"/>
        </w:rPr>
        <w:t>is</w:t>
      </w:r>
      <w:r>
        <w:rPr>
          <w:rFonts w:ascii="Arial"/>
          <w:color w:val="333333"/>
          <w:spacing w:val="-13"/>
          <w:w w:val="90"/>
          <w:sz w:val="11"/>
        </w:rPr>
        <w:t xml:space="preserve"> </w:t>
      </w:r>
      <w:r>
        <w:rPr>
          <w:rFonts w:ascii="Arial"/>
          <w:color w:val="161616"/>
          <w:w w:val="90"/>
          <w:sz w:val="11"/>
        </w:rPr>
        <w:t>an</w:t>
      </w:r>
      <w:r>
        <w:rPr>
          <w:rFonts w:ascii="Arial"/>
          <w:color w:val="161616"/>
          <w:spacing w:val="-15"/>
          <w:w w:val="90"/>
          <w:sz w:val="11"/>
        </w:rPr>
        <w:t xml:space="preserve"> </w:t>
      </w:r>
      <w:r>
        <w:rPr>
          <w:rFonts w:ascii="Arial"/>
          <w:color w:val="1A1A1A"/>
          <w:w w:val="90"/>
          <w:sz w:val="11"/>
        </w:rPr>
        <w:t>open</w:t>
      </w:r>
      <w:r>
        <w:rPr>
          <w:rFonts w:ascii="Arial"/>
          <w:color w:val="1A1A1A"/>
          <w:spacing w:val="-13"/>
          <w:w w:val="90"/>
          <w:sz w:val="11"/>
        </w:rPr>
        <w:t xml:space="preserve"> </w:t>
      </w:r>
      <w:r>
        <w:rPr>
          <w:rFonts w:ascii="Arial"/>
          <w:color w:val="2F2F2F"/>
          <w:w w:val="90"/>
          <w:sz w:val="11"/>
        </w:rPr>
        <w:t xml:space="preserve">access </w:t>
      </w:r>
      <w:r>
        <w:rPr>
          <w:rFonts w:ascii="Arial"/>
          <w:color w:val="2F2F2F"/>
          <w:w w:val="95"/>
          <w:sz w:val="11"/>
        </w:rPr>
        <w:t xml:space="preserve">artide </w:t>
      </w:r>
      <w:r>
        <w:rPr>
          <w:rFonts w:ascii="Arial"/>
          <w:color w:val="1A1A1A"/>
          <w:w w:val="95"/>
          <w:sz w:val="11"/>
        </w:rPr>
        <w:t xml:space="preserve">disRibuled </w:t>
      </w:r>
      <w:r>
        <w:rPr>
          <w:rFonts w:ascii="Arial"/>
          <w:color w:val="2D2D2D"/>
          <w:w w:val="95"/>
          <w:sz w:val="11"/>
        </w:rPr>
        <w:t xml:space="preserve">under </w:t>
      </w:r>
      <w:r>
        <w:rPr>
          <w:rFonts w:ascii="Arial"/>
          <w:color w:val="262626"/>
          <w:w w:val="95"/>
          <w:sz w:val="11"/>
        </w:rPr>
        <w:t xml:space="preserve">the </w:t>
      </w:r>
      <w:r>
        <w:rPr>
          <w:rFonts w:ascii="Arial"/>
          <w:color w:val="2B2B2B"/>
          <w:w w:val="95"/>
          <w:sz w:val="11"/>
        </w:rPr>
        <w:t xml:space="preserve">terms </w:t>
      </w:r>
      <w:r>
        <w:rPr>
          <w:rFonts w:ascii="Arial"/>
          <w:color w:val="2D2D2D"/>
          <w:w w:val="95"/>
          <w:sz w:val="11"/>
        </w:rPr>
        <w:t xml:space="preserve">of </w:t>
      </w:r>
      <w:r>
        <w:rPr>
          <w:rFonts w:ascii="Arial"/>
          <w:color w:val="232323"/>
          <w:w w:val="95"/>
          <w:sz w:val="11"/>
        </w:rPr>
        <w:t xml:space="preserve">the </w:t>
      </w:r>
      <w:r>
        <w:rPr>
          <w:rFonts w:ascii="Arial"/>
          <w:color w:val="212121"/>
          <w:w w:val="95"/>
          <w:sz w:val="11"/>
        </w:rPr>
        <w:t xml:space="preserve">Creative Commons </w:t>
      </w:r>
      <w:r>
        <w:rPr>
          <w:rFonts w:ascii="Arial"/>
          <w:color w:val="2F2F2F"/>
          <w:w w:val="95"/>
          <w:sz w:val="11"/>
        </w:rPr>
        <w:t xml:space="preserve">Aflztb+rljon </w:t>
      </w:r>
      <w:r>
        <w:rPr>
          <w:rFonts w:ascii="Arial"/>
          <w:color w:val="262626"/>
          <w:w w:val="95"/>
          <w:sz w:val="11"/>
        </w:rPr>
        <w:t xml:space="preserve">License </w:t>
      </w:r>
      <w:r>
        <w:rPr>
          <w:rFonts w:ascii="Arial"/>
          <w:color w:val="2A2A2A"/>
          <w:w w:val="95"/>
          <w:sz w:val="11"/>
        </w:rPr>
        <w:t xml:space="preserve">CWBY </w:t>
      </w:r>
      <w:r>
        <w:rPr>
          <w:rFonts w:ascii="Arial"/>
          <w:color w:val="2D2D2D"/>
          <w:w w:val="95"/>
          <w:sz w:val="11"/>
        </w:rPr>
        <w:t xml:space="preserve">3.0., </w:t>
      </w:r>
      <w:r>
        <w:rPr>
          <w:rFonts w:ascii="Arial"/>
          <w:color w:val="2A2A2A"/>
          <w:w w:val="95"/>
          <w:sz w:val="11"/>
        </w:rPr>
        <w:t xml:space="preserve">whlct-i </w:t>
      </w:r>
      <w:r>
        <w:rPr>
          <w:rFonts w:ascii="Arial"/>
          <w:color w:val="1F1F1F"/>
          <w:w w:val="95"/>
          <w:sz w:val="11"/>
        </w:rPr>
        <w:t xml:space="preserve">pennies </w:t>
      </w:r>
      <w:r>
        <w:rPr>
          <w:rFonts w:ascii="Arial"/>
          <w:color w:val="212121"/>
          <w:w w:val="95"/>
          <w:sz w:val="11"/>
        </w:rPr>
        <w:t xml:space="preserve">unrestncted use, distribution, </w:t>
      </w:r>
      <w:r>
        <w:rPr>
          <w:rFonts w:ascii="Arial"/>
          <w:color w:val="1A1A1A"/>
          <w:w w:val="95"/>
          <w:sz w:val="11"/>
        </w:rPr>
        <w:t xml:space="preserve">and </w:t>
      </w:r>
      <w:r>
        <w:rPr>
          <w:rFonts w:ascii="Arial"/>
          <w:color w:val="282828"/>
          <w:w w:val="90"/>
          <w:sz w:val="11"/>
        </w:rPr>
        <w:t>reprodMcljon</w:t>
      </w:r>
      <w:r>
        <w:rPr>
          <w:rFonts w:ascii="Arial"/>
          <w:color w:val="282828"/>
          <w:spacing w:val="-5"/>
          <w:w w:val="90"/>
          <w:sz w:val="11"/>
        </w:rPr>
        <w:t xml:space="preserve"> </w:t>
      </w:r>
      <w:r>
        <w:rPr>
          <w:rFonts w:ascii="Arial"/>
          <w:color w:val="282828"/>
          <w:w w:val="90"/>
          <w:sz w:val="11"/>
        </w:rPr>
        <w:t>in</w:t>
      </w:r>
      <w:r>
        <w:rPr>
          <w:rFonts w:ascii="Arial"/>
          <w:color w:val="282828"/>
          <w:spacing w:val="-9"/>
          <w:w w:val="90"/>
          <w:sz w:val="11"/>
        </w:rPr>
        <w:t xml:space="preserve"> </w:t>
      </w:r>
      <w:r>
        <w:rPr>
          <w:rFonts w:ascii="Arial"/>
          <w:color w:val="262626"/>
          <w:w w:val="90"/>
          <w:sz w:val="11"/>
        </w:rPr>
        <w:t>any</w:t>
      </w:r>
      <w:r>
        <w:rPr>
          <w:rFonts w:ascii="Arial"/>
          <w:color w:val="262626"/>
          <w:spacing w:val="-6"/>
          <w:w w:val="90"/>
          <w:sz w:val="11"/>
        </w:rPr>
        <w:t xml:space="preserve"> </w:t>
      </w:r>
      <w:r>
        <w:rPr>
          <w:rFonts w:ascii="Arial"/>
          <w:color w:val="1D1D1D"/>
          <w:w w:val="90"/>
          <w:sz w:val="11"/>
        </w:rPr>
        <w:t>medium.</w:t>
      </w:r>
      <w:r>
        <w:rPr>
          <w:rFonts w:ascii="Arial"/>
          <w:color w:val="1D1D1D"/>
          <w:spacing w:val="-6"/>
          <w:w w:val="90"/>
          <w:sz w:val="11"/>
        </w:rPr>
        <w:t xml:space="preserve"> </w:t>
      </w:r>
      <w:r>
        <w:rPr>
          <w:rFonts w:ascii="Arial"/>
          <w:color w:val="181818"/>
          <w:w w:val="90"/>
          <w:sz w:val="11"/>
        </w:rPr>
        <w:t xml:space="preserve">provided </w:t>
      </w:r>
      <w:r>
        <w:rPr>
          <w:rFonts w:ascii="Arial"/>
          <w:color w:val="1A1A1A"/>
          <w:w w:val="95"/>
          <w:sz w:val="11"/>
        </w:rPr>
        <w:t xml:space="preserve">the </w:t>
      </w:r>
      <w:r>
        <w:rPr>
          <w:rFonts w:ascii="Arial"/>
          <w:color w:val="2B2B2B"/>
          <w:w w:val="95"/>
          <w:sz w:val="11"/>
        </w:rPr>
        <w:t xml:space="preserve">original </w:t>
      </w:r>
      <w:r>
        <w:rPr>
          <w:rFonts w:ascii="Arial"/>
          <w:color w:val="262626"/>
          <w:w w:val="95"/>
          <w:sz w:val="11"/>
        </w:rPr>
        <w:t xml:space="preserve">author </w:t>
      </w:r>
      <w:r>
        <w:rPr>
          <w:rFonts w:ascii="Arial"/>
          <w:color w:val="2F2F2F"/>
          <w:w w:val="95"/>
          <w:sz w:val="11"/>
        </w:rPr>
        <w:t xml:space="preserve">and </w:t>
      </w:r>
      <w:r>
        <w:rPr>
          <w:rFonts w:ascii="Arial"/>
          <w:color w:val="282828"/>
          <w:w w:val="95"/>
          <w:sz w:val="11"/>
        </w:rPr>
        <w:t xml:space="preserve">source are </w:t>
      </w:r>
      <w:r>
        <w:rPr>
          <w:rFonts w:ascii="Arial"/>
          <w:color w:val="1F1F1F"/>
          <w:w w:val="95"/>
          <w:sz w:val="11"/>
        </w:rPr>
        <w:t>credited.</w:t>
      </w:r>
    </w:p>
    <w:p w:rsidR="00F13C1D" w:rsidRDefault="00760D48">
      <w:pPr>
        <w:pStyle w:val="BodyText"/>
        <w:rPr>
          <w:rFonts w:ascii="Arial"/>
          <w:sz w:val="20"/>
        </w:rPr>
      </w:pPr>
      <w:r>
        <w:br w:type="column"/>
      </w:r>
    </w:p>
    <w:p w:rsidR="00F13C1D" w:rsidRDefault="00760D48">
      <w:pPr>
        <w:pStyle w:val="BodyText"/>
        <w:spacing w:before="1" w:line="288" w:lineRule="auto"/>
        <w:ind w:left="245" w:right="708" w:hanging="1"/>
      </w:pPr>
      <w:r>
        <w:rPr>
          <w:color w:val="181818"/>
        </w:rPr>
        <w:t xml:space="preserve">Conclusions: </w:t>
      </w:r>
      <w:r>
        <w:rPr>
          <w:color w:val="1D1D1D"/>
        </w:rPr>
        <w:t xml:space="preserve">CE </w:t>
      </w:r>
      <w:r>
        <w:rPr>
          <w:color w:val="131313"/>
        </w:rPr>
        <w:t xml:space="preserve">is </w:t>
      </w:r>
      <w:r>
        <w:rPr>
          <w:color w:val="2A2A2A"/>
        </w:rPr>
        <w:t xml:space="preserve">a </w:t>
      </w:r>
      <w:r>
        <w:rPr>
          <w:color w:val="0E0E0E"/>
        </w:rPr>
        <w:t xml:space="preserve">safe </w:t>
      </w:r>
      <w:r>
        <w:rPr>
          <w:color w:val="181818"/>
        </w:rPr>
        <w:t xml:space="preserve">and </w:t>
      </w:r>
      <w:r>
        <w:rPr>
          <w:color w:val="131313"/>
        </w:rPr>
        <w:t xml:space="preserve">viable </w:t>
      </w:r>
      <w:r>
        <w:rPr>
          <w:color w:val="1F1F1F"/>
        </w:rPr>
        <w:t xml:space="preserve">option </w:t>
      </w:r>
      <w:r>
        <w:rPr>
          <w:color w:val="2D2D2D"/>
        </w:rPr>
        <w:t xml:space="preserve">as </w:t>
      </w:r>
      <w:r>
        <w:rPr>
          <w:color w:val="2A2A2A"/>
        </w:rPr>
        <w:t xml:space="preserve">an </w:t>
      </w:r>
      <w:r>
        <w:rPr>
          <w:color w:val="1F1F1F"/>
        </w:rPr>
        <w:t xml:space="preserve">adjunct </w:t>
      </w:r>
      <w:r>
        <w:rPr>
          <w:color w:val="232323"/>
        </w:rPr>
        <w:t xml:space="preserve">to </w:t>
      </w:r>
      <w:r>
        <w:rPr>
          <w:color w:val="181818"/>
        </w:rPr>
        <w:t xml:space="preserve">CABG </w:t>
      </w:r>
      <w:r>
        <w:rPr>
          <w:color w:val="161616"/>
        </w:rPr>
        <w:t xml:space="preserve">in </w:t>
      </w:r>
      <w:r>
        <w:rPr>
          <w:color w:val="131313"/>
        </w:rPr>
        <w:t xml:space="preserve">long segment </w:t>
      </w:r>
      <w:r>
        <w:rPr>
          <w:color w:val="232323"/>
        </w:rPr>
        <w:t xml:space="preserve">totally </w:t>
      </w:r>
      <w:r>
        <w:rPr>
          <w:color w:val="181818"/>
        </w:rPr>
        <w:t xml:space="preserve">occluded </w:t>
      </w:r>
      <w:r>
        <w:rPr>
          <w:color w:val="1C1C1C"/>
        </w:rPr>
        <w:t xml:space="preserve">vessels </w:t>
      </w:r>
      <w:r>
        <w:rPr>
          <w:color w:val="1A1A1A"/>
        </w:rPr>
        <w:t xml:space="preserve">needing </w:t>
      </w:r>
      <w:r>
        <w:rPr>
          <w:color w:val="0E0E0E"/>
        </w:rPr>
        <w:t xml:space="preserve">revascularization </w:t>
      </w:r>
      <w:r>
        <w:rPr>
          <w:color w:val="1A1A1A"/>
        </w:rPr>
        <w:t xml:space="preserve">and </w:t>
      </w:r>
      <w:r>
        <w:rPr>
          <w:color w:val="1C1C1C"/>
        </w:rPr>
        <w:t>reconstruction.</w:t>
      </w:r>
    </w:p>
    <w:p w:rsidR="00F13C1D" w:rsidRDefault="001D2EC7">
      <w:pPr>
        <w:pStyle w:val="BodyText"/>
        <w:rPr>
          <w:sz w:val="12"/>
        </w:rPr>
      </w:pPr>
      <w:r>
        <w:pict>
          <v:group id="_x0000_s1031" style="position:absolute;margin-left:3in;margin-top:9pt;width:285.15pt;height:2.35pt;z-index:-251657216;mso-wrap-distance-left:0;mso-wrap-distance-right:0;mso-position-horizontal-relative:page" coordorigin="4320,180" coordsize="5703,47">
            <v:line id="_x0000_s1037" style="position:absolute" from="6941,188" to="7286,188" strokecolor="#1f2323" strokeweight=".27311mm"/>
            <v:line id="_x0000_s1036" style="position:absolute" from="4320,219" to="10023,219" strokecolor="#1f2323" strokeweight=".27311mm"/>
            <v:line id="_x0000_s1035" style="position:absolute" from="9346,188" to="9826,188" strokecolor="#1f2323" strokeweight=".27311mm"/>
            <v:line id="_x0000_s1034" style="position:absolute" from="7429,188" to="7793,188" strokecolor="#1f2323" strokeweight=".27311mm"/>
            <v:line id="_x0000_s1033" style="position:absolute" from="7847,188" to="8304,188" strokecolor="#1f2323" strokeweight=".27311mm"/>
            <v:line id="_x0000_s1032" style="position:absolute" from="8327,188" to="9315,188" strokecolor="#1f2323" strokeweight=".27311mm"/>
            <w10:wrap type="topAndBottom" anchorx="page"/>
          </v:group>
        </w:pict>
      </w:r>
    </w:p>
    <w:p w:rsidR="00F13C1D" w:rsidRDefault="00F13C1D">
      <w:pPr>
        <w:pStyle w:val="BodyText"/>
        <w:spacing w:before="7"/>
        <w:rPr>
          <w:sz w:val="17"/>
        </w:rPr>
      </w:pPr>
    </w:p>
    <w:p w:rsidR="00F13C1D" w:rsidRDefault="00760D48">
      <w:pPr>
        <w:spacing w:before="1"/>
        <w:ind w:left="239"/>
        <w:rPr>
          <w:sz w:val="13"/>
        </w:rPr>
      </w:pPr>
      <w:r>
        <w:rPr>
          <w:color w:val="131313"/>
          <w:sz w:val="13"/>
        </w:rPr>
        <w:t xml:space="preserve">Categories: </w:t>
      </w:r>
      <w:r>
        <w:rPr>
          <w:color w:val="1A1A1A"/>
          <w:sz w:val="13"/>
        </w:rPr>
        <w:t xml:space="preserve">Cardiac/Thoracic/Vascular </w:t>
      </w:r>
      <w:r>
        <w:rPr>
          <w:color w:val="1C1C1C"/>
          <w:sz w:val="13"/>
        </w:rPr>
        <w:t xml:space="preserve">Surgery, </w:t>
      </w:r>
      <w:r>
        <w:rPr>
          <w:color w:val="2A2A2A"/>
          <w:sz w:val="13"/>
        </w:rPr>
        <w:t xml:space="preserve">Cardiology, </w:t>
      </w:r>
      <w:r>
        <w:rPr>
          <w:color w:val="1F1F1F"/>
          <w:sz w:val="13"/>
        </w:rPr>
        <w:t xml:space="preserve">Internal </w:t>
      </w:r>
      <w:r>
        <w:rPr>
          <w:color w:val="242424"/>
          <w:sz w:val="13"/>
        </w:rPr>
        <w:t>Medicine</w:t>
      </w:r>
    </w:p>
    <w:p w:rsidR="00F13C1D" w:rsidRDefault="00760D48">
      <w:pPr>
        <w:spacing w:before="29"/>
        <w:ind w:left="245"/>
        <w:rPr>
          <w:rFonts w:ascii="Times New Roman"/>
          <w:sz w:val="13"/>
        </w:rPr>
      </w:pPr>
      <w:r>
        <w:rPr>
          <w:rFonts w:ascii="Times New Roman"/>
          <w:w w:val="105"/>
          <w:sz w:val="13"/>
        </w:rPr>
        <w:t xml:space="preserve">Keywords: </w:t>
      </w:r>
      <w:r>
        <w:rPr>
          <w:rFonts w:ascii="Times New Roman"/>
          <w:color w:val="181818"/>
          <w:w w:val="105"/>
          <w:sz w:val="13"/>
        </w:rPr>
        <w:t xml:space="preserve">revascularization, </w:t>
      </w:r>
      <w:r>
        <w:rPr>
          <w:rFonts w:ascii="Times New Roman"/>
          <w:color w:val="1F1F1F"/>
          <w:w w:val="105"/>
          <w:sz w:val="13"/>
        </w:rPr>
        <w:t xml:space="preserve">coronary </w:t>
      </w:r>
      <w:r>
        <w:rPr>
          <w:rFonts w:ascii="Times New Roman"/>
          <w:color w:val="1A1A1A"/>
          <w:w w:val="105"/>
          <w:sz w:val="13"/>
        </w:rPr>
        <w:t xml:space="preserve">endarterectomy, </w:t>
      </w:r>
      <w:r>
        <w:rPr>
          <w:rFonts w:ascii="Times New Roman"/>
          <w:color w:val="1C1C1C"/>
          <w:w w:val="105"/>
          <w:sz w:val="13"/>
        </w:rPr>
        <w:t xml:space="preserve">coronary </w:t>
      </w:r>
      <w:r>
        <w:rPr>
          <w:rFonts w:ascii="Times New Roman"/>
          <w:color w:val="1F1F1F"/>
          <w:w w:val="105"/>
          <w:sz w:val="13"/>
        </w:rPr>
        <w:t xml:space="preserve">artery </w:t>
      </w:r>
      <w:r>
        <w:rPr>
          <w:rFonts w:ascii="Times New Roman"/>
          <w:color w:val="1D1D1D"/>
          <w:w w:val="105"/>
          <w:sz w:val="13"/>
        </w:rPr>
        <w:t xml:space="preserve">bypass </w:t>
      </w:r>
      <w:r>
        <w:rPr>
          <w:rFonts w:ascii="Times New Roman"/>
          <w:color w:val="1F1F1F"/>
          <w:w w:val="105"/>
          <w:sz w:val="13"/>
        </w:rPr>
        <w:t xml:space="preserve">graft </w:t>
      </w:r>
      <w:r>
        <w:rPr>
          <w:rFonts w:ascii="Times New Roman"/>
          <w:color w:val="2F2F2F"/>
          <w:w w:val="105"/>
          <w:sz w:val="13"/>
        </w:rPr>
        <w:t>(cabg)</w:t>
      </w:r>
    </w:p>
    <w:p w:rsidR="00F13C1D" w:rsidRDefault="00760D48">
      <w:pPr>
        <w:pStyle w:val="BodyText"/>
        <w:spacing w:before="5"/>
        <w:rPr>
          <w:rFonts w:ascii="Times New Roman"/>
          <w:sz w:val="21"/>
        </w:rPr>
      </w:pPr>
      <w:r>
        <w:rPr>
          <w:noProof/>
          <w:lang w:bidi="ar-SA"/>
        </w:rPr>
        <w:drawing>
          <wp:anchor distT="0" distB="0" distL="0" distR="0" simplePos="0" relativeHeight="2" behindDoc="0" locked="0" layoutInCell="1" allowOverlap="1">
            <wp:simplePos x="0" y="0"/>
            <wp:positionH relativeFrom="page">
              <wp:posOffset>2739743</wp:posOffset>
            </wp:positionH>
            <wp:positionV relativeFrom="paragraph">
              <wp:posOffset>181669</wp:posOffset>
            </wp:positionV>
            <wp:extent cx="861930" cy="11144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4" cstate="print"/>
                    <a:stretch>
                      <a:fillRect/>
                    </a:stretch>
                  </pic:blipFill>
                  <pic:spPr>
                    <a:xfrm>
                      <a:off x="0" y="0"/>
                      <a:ext cx="861930" cy="111442"/>
                    </a:xfrm>
                    <a:prstGeom prst="rect">
                      <a:avLst/>
                    </a:prstGeom>
                  </pic:spPr>
                </pic:pic>
              </a:graphicData>
            </a:graphic>
          </wp:anchor>
        </w:drawing>
      </w:r>
    </w:p>
    <w:p w:rsidR="00F13C1D" w:rsidRDefault="00760D48">
      <w:pPr>
        <w:pStyle w:val="BodyText"/>
        <w:spacing w:before="86" w:line="280" w:lineRule="auto"/>
        <w:ind w:left="239" w:right="708" w:hanging="1"/>
      </w:pPr>
      <w:r>
        <w:rPr>
          <w:color w:val="161616"/>
        </w:rPr>
        <w:t xml:space="preserve">Coronary </w:t>
      </w:r>
      <w:r>
        <w:t xml:space="preserve">endarterectomy </w:t>
      </w:r>
      <w:r>
        <w:rPr>
          <w:color w:val="262626"/>
        </w:rPr>
        <w:t xml:space="preserve">(CE) </w:t>
      </w:r>
      <w:r>
        <w:rPr>
          <w:color w:val="282828"/>
        </w:rPr>
        <w:t xml:space="preserve">is </w:t>
      </w:r>
      <w:r>
        <w:rPr>
          <w:color w:val="131313"/>
        </w:rPr>
        <w:t xml:space="preserve">a </w:t>
      </w:r>
      <w:r>
        <w:rPr>
          <w:color w:val="1F1F1F"/>
        </w:rPr>
        <w:t xml:space="preserve">useful adjunct procedure </w:t>
      </w:r>
      <w:r>
        <w:rPr>
          <w:color w:val="313131"/>
        </w:rPr>
        <w:t xml:space="preserve">generally </w:t>
      </w:r>
      <w:r>
        <w:rPr>
          <w:color w:val="333333"/>
        </w:rPr>
        <w:t xml:space="preserve">done </w:t>
      </w:r>
      <w:r>
        <w:rPr>
          <w:color w:val="363636"/>
        </w:rPr>
        <w:t xml:space="preserve">in </w:t>
      </w:r>
      <w:r>
        <w:rPr>
          <w:color w:val="333333"/>
        </w:rPr>
        <w:t xml:space="preserve">the </w:t>
      </w:r>
      <w:r>
        <w:rPr>
          <w:color w:val="282828"/>
        </w:rPr>
        <w:t xml:space="preserve">presence </w:t>
      </w:r>
      <w:r>
        <w:rPr>
          <w:color w:val="232323"/>
        </w:rPr>
        <w:t xml:space="preserve">of </w:t>
      </w:r>
      <w:r>
        <w:rPr>
          <w:color w:val="181818"/>
        </w:rPr>
        <w:t xml:space="preserve">diffuse </w:t>
      </w:r>
      <w:r>
        <w:rPr>
          <w:color w:val="1A1A1A"/>
        </w:rPr>
        <w:t xml:space="preserve">coronary </w:t>
      </w:r>
      <w:r>
        <w:rPr>
          <w:color w:val="1C1C1C"/>
        </w:rPr>
        <w:t xml:space="preserve">artery </w:t>
      </w:r>
      <w:r>
        <w:t xml:space="preserve">disease. </w:t>
      </w:r>
      <w:r>
        <w:rPr>
          <w:color w:val="2B2B2B"/>
        </w:rPr>
        <w:t xml:space="preserve">It </w:t>
      </w:r>
      <w:r>
        <w:rPr>
          <w:color w:val="262626"/>
        </w:rPr>
        <w:t xml:space="preserve">aims </w:t>
      </w:r>
      <w:r>
        <w:rPr>
          <w:color w:val="282828"/>
        </w:rPr>
        <w:t xml:space="preserve">to </w:t>
      </w:r>
      <w:r>
        <w:rPr>
          <w:color w:val="262626"/>
        </w:rPr>
        <w:t xml:space="preserve">restore </w:t>
      </w:r>
      <w:r>
        <w:rPr>
          <w:color w:val="161616"/>
        </w:rPr>
        <w:t xml:space="preserve">uninterrupted </w:t>
      </w:r>
      <w:r>
        <w:rPr>
          <w:color w:val="242424"/>
        </w:rPr>
        <w:t xml:space="preserve">blood </w:t>
      </w:r>
      <w:r>
        <w:rPr>
          <w:color w:val="313131"/>
        </w:rPr>
        <w:t xml:space="preserve">flow </w:t>
      </w:r>
      <w:r>
        <w:rPr>
          <w:color w:val="1A1A1A"/>
        </w:rPr>
        <w:t xml:space="preserve">by </w:t>
      </w:r>
      <w:r>
        <w:rPr>
          <w:color w:val="1C1C1C"/>
        </w:rPr>
        <w:t xml:space="preserve">excising </w:t>
      </w:r>
      <w:r>
        <w:rPr>
          <w:color w:val="161616"/>
        </w:rPr>
        <w:t>diseased</w:t>
      </w:r>
    </w:p>
    <w:p w:rsidR="00F13C1D" w:rsidRDefault="00F13C1D">
      <w:pPr>
        <w:pStyle w:val="BodyText"/>
        <w:rPr>
          <w:sz w:val="16"/>
        </w:rPr>
      </w:pPr>
    </w:p>
    <w:p w:rsidR="00F13C1D" w:rsidRDefault="00F13C1D">
      <w:pPr>
        <w:pStyle w:val="BodyText"/>
        <w:rPr>
          <w:sz w:val="16"/>
        </w:rPr>
      </w:pPr>
    </w:p>
    <w:p w:rsidR="00F13C1D" w:rsidRDefault="00760D48">
      <w:pPr>
        <w:pStyle w:val="BodyText"/>
        <w:spacing w:before="102"/>
        <w:ind w:left="212"/>
        <w:rPr>
          <w:rFonts w:ascii="Arial"/>
        </w:rPr>
      </w:pPr>
      <w:r>
        <w:rPr>
          <w:rFonts w:ascii="Arial"/>
          <w:color w:val="0C0C0C"/>
        </w:rPr>
        <w:t xml:space="preserve">How </w:t>
      </w:r>
      <w:r>
        <w:rPr>
          <w:rFonts w:ascii="Arial"/>
          <w:color w:val="151515"/>
        </w:rPr>
        <w:t xml:space="preserve">to </w:t>
      </w:r>
      <w:r>
        <w:rPr>
          <w:rFonts w:ascii="Arial"/>
          <w:color w:val="0C0C0C"/>
        </w:rPr>
        <w:t xml:space="preserve">cite </w:t>
      </w:r>
      <w:r>
        <w:rPr>
          <w:rFonts w:ascii="Arial"/>
          <w:color w:val="080808"/>
        </w:rPr>
        <w:t xml:space="preserve">this </w:t>
      </w:r>
      <w:r>
        <w:rPr>
          <w:rFonts w:ascii="Arial"/>
          <w:color w:val="0A0A0A"/>
        </w:rPr>
        <w:t>article</w:t>
      </w:r>
    </w:p>
    <w:p w:rsidR="00F13C1D" w:rsidRDefault="00760D48">
      <w:pPr>
        <w:spacing w:before="5" w:line="261" w:lineRule="auto"/>
        <w:ind w:left="213" w:right="708" w:firstLine="5"/>
        <w:rPr>
          <w:rFonts w:ascii="Arial"/>
          <w:sz w:val="13"/>
        </w:rPr>
      </w:pPr>
      <w:r>
        <w:rPr>
          <w:rFonts w:ascii="Arial"/>
          <w:color w:val="0C0C0C"/>
          <w:sz w:val="13"/>
        </w:rPr>
        <w:t>Abdullah</w:t>
      </w:r>
      <w:r>
        <w:rPr>
          <w:rFonts w:ascii="Arial"/>
          <w:color w:val="0C0C0C"/>
          <w:spacing w:val="-19"/>
          <w:sz w:val="13"/>
        </w:rPr>
        <w:t xml:space="preserve"> </w:t>
      </w:r>
      <w:r>
        <w:rPr>
          <w:rFonts w:ascii="Arial"/>
          <w:color w:val="0F0F0F"/>
          <w:sz w:val="13"/>
        </w:rPr>
        <w:t>H,</w:t>
      </w:r>
      <w:r>
        <w:rPr>
          <w:rFonts w:ascii="Arial"/>
          <w:color w:val="0F0F0F"/>
          <w:spacing w:val="-19"/>
          <w:sz w:val="13"/>
        </w:rPr>
        <w:t xml:space="preserve"> </w:t>
      </w:r>
      <w:r>
        <w:rPr>
          <w:rFonts w:ascii="Arial"/>
          <w:color w:val="0C0C0C"/>
          <w:sz w:val="13"/>
        </w:rPr>
        <w:t>Than</w:t>
      </w:r>
      <w:r>
        <w:rPr>
          <w:rFonts w:ascii="Arial"/>
          <w:color w:val="0C0C0C"/>
          <w:spacing w:val="-20"/>
          <w:sz w:val="13"/>
        </w:rPr>
        <w:t xml:space="preserve"> </w:t>
      </w:r>
      <w:r>
        <w:rPr>
          <w:rFonts w:ascii="Arial"/>
          <w:color w:val="1D1D1D"/>
          <w:sz w:val="13"/>
        </w:rPr>
        <w:t>A,</w:t>
      </w:r>
      <w:r>
        <w:rPr>
          <w:rFonts w:ascii="Arial"/>
          <w:color w:val="1D1D1D"/>
          <w:spacing w:val="-22"/>
          <w:sz w:val="13"/>
        </w:rPr>
        <w:t xml:space="preserve"> </w:t>
      </w:r>
      <w:r>
        <w:rPr>
          <w:rFonts w:ascii="Arial"/>
          <w:color w:val="282828"/>
          <w:sz w:val="13"/>
        </w:rPr>
        <w:t>Khan</w:t>
      </w:r>
      <w:r>
        <w:rPr>
          <w:rFonts w:ascii="Arial"/>
          <w:color w:val="282828"/>
          <w:spacing w:val="-18"/>
          <w:sz w:val="13"/>
        </w:rPr>
        <w:t xml:space="preserve"> </w:t>
      </w:r>
      <w:r>
        <w:rPr>
          <w:rFonts w:ascii="Arial"/>
          <w:color w:val="212121"/>
          <w:sz w:val="13"/>
        </w:rPr>
        <w:t>Aftidi</w:t>
      </w:r>
      <w:r>
        <w:rPr>
          <w:rFonts w:ascii="Arial"/>
          <w:color w:val="212121"/>
          <w:spacing w:val="-24"/>
          <w:sz w:val="13"/>
        </w:rPr>
        <w:t xml:space="preserve"> </w:t>
      </w:r>
      <w:r>
        <w:rPr>
          <w:rFonts w:ascii="Arial"/>
          <w:color w:val="1C1C1C"/>
          <w:sz w:val="13"/>
        </w:rPr>
        <w:t>M,</w:t>
      </w:r>
      <w:r>
        <w:rPr>
          <w:rFonts w:ascii="Arial"/>
          <w:color w:val="1C1C1C"/>
          <w:spacing w:val="-22"/>
          <w:sz w:val="13"/>
        </w:rPr>
        <w:t xml:space="preserve"> </w:t>
      </w:r>
      <w:r>
        <w:rPr>
          <w:rFonts w:ascii="Arial"/>
          <w:color w:val="212121"/>
          <w:sz w:val="13"/>
        </w:rPr>
        <w:t>et</w:t>
      </w:r>
      <w:r>
        <w:rPr>
          <w:rFonts w:ascii="Arial"/>
          <w:color w:val="212121"/>
          <w:spacing w:val="-20"/>
          <w:sz w:val="13"/>
        </w:rPr>
        <w:t xml:space="preserve"> </w:t>
      </w:r>
      <w:r>
        <w:rPr>
          <w:rFonts w:ascii="Arial"/>
          <w:color w:val="2D2D2D"/>
          <w:sz w:val="13"/>
        </w:rPr>
        <w:t>at.</w:t>
      </w:r>
      <w:r>
        <w:rPr>
          <w:rFonts w:ascii="Arial"/>
          <w:color w:val="2D2D2D"/>
          <w:spacing w:val="-22"/>
          <w:sz w:val="13"/>
        </w:rPr>
        <w:t xml:space="preserve"> </w:t>
      </w:r>
      <w:r>
        <w:rPr>
          <w:rFonts w:ascii="Arial"/>
          <w:color w:val="131313"/>
          <w:sz w:val="13"/>
        </w:rPr>
        <w:t>(March</w:t>
      </w:r>
      <w:r>
        <w:rPr>
          <w:rFonts w:ascii="Arial"/>
          <w:color w:val="131313"/>
          <w:spacing w:val="-15"/>
          <w:sz w:val="13"/>
        </w:rPr>
        <w:t xml:space="preserve"> </w:t>
      </w:r>
      <w:r>
        <w:rPr>
          <w:rFonts w:ascii="Arial"/>
          <w:color w:val="2D2D2D"/>
          <w:w w:val="90"/>
          <w:sz w:val="13"/>
        </w:rPr>
        <w:t>4</w:t>
      </w:r>
      <w:r>
        <w:rPr>
          <w:rFonts w:ascii="Arial"/>
          <w:color w:val="2D2D2D"/>
          <w:spacing w:val="-26"/>
          <w:w w:val="90"/>
          <w:sz w:val="13"/>
        </w:rPr>
        <w:t xml:space="preserve"> </w:t>
      </w:r>
      <w:r>
        <w:rPr>
          <w:rFonts w:ascii="Arial"/>
          <w:color w:val="242424"/>
          <w:sz w:val="13"/>
        </w:rPr>
        <w:t>9,</w:t>
      </w:r>
      <w:r>
        <w:rPr>
          <w:rFonts w:ascii="Arial"/>
          <w:color w:val="242424"/>
          <w:spacing w:val="-22"/>
          <w:sz w:val="13"/>
        </w:rPr>
        <w:t xml:space="preserve"> </w:t>
      </w:r>
      <w:r>
        <w:rPr>
          <w:rFonts w:ascii="Arial"/>
          <w:color w:val="181818"/>
          <w:sz w:val="13"/>
        </w:rPr>
        <w:t>20J</w:t>
      </w:r>
      <w:r>
        <w:rPr>
          <w:rFonts w:ascii="Arial"/>
          <w:color w:val="181818"/>
          <w:spacing w:val="-31"/>
          <w:sz w:val="13"/>
        </w:rPr>
        <w:t xml:space="preserve"> </w:t>
      </w:r>
      <w:r>
        <w:rPr>
          <w:rFonts w:ascii="Arial"/>
          <w:color w:val="1A1A1A"/>
          <w:sz w:val="13"/>
        </w:rPr>
        <w:t>9)</w:t>
      </w:r>
      <w:r>
        <w:rPr>
          <w:rFonts w:ascii="Arial"/>
          <w:color w:val="1A1A1A"/>
          <w:spacing w:val="-22"/>
          <w:sz w:val="13"/>
        </w:rPr>
        <w:t xml:space="preserve"> </w:t>
      </w:r>
      <w:r>
        <w:rPr>
          <w:rFonts w:ascii="Arial"/>
          <w:color w:val="2F2F2F"/>
          <w:sz w:val="13"/>
        </w:rPr>
        <w:t>A</w:t>
      </w:r>
      <w:r>
        <w:rPr>
          <w:rFonts w:ascii="Arial"/>
          <w:color w:val="2F2F2F"/>
          <w:spacing w:val="-23"/>
          <w:sz w:val="13"/>
        </w:rPr>
        <w:t xml:space="preserve"> </w:t>
      </w:r>
      <w:r>
        <w:rPr>
          <w:rFonts w:ascii="Arial"/>
          <w:color w:val="0F0F0F"/>
          <w:sz w:val="13"/>
        </w:rPr>
        <w:t>Retrospective</w:t>
      </w:r>
      <w:r>
        <w:rPr>
          <w:rFonts w:ascii="Arial"/>
          <w:color w:val="0F0F0F"/>
          <w:spacing w:val="-15"/>
          <w:sz w:val="13"/>
        </w:rPr>
        <w:t xml:space="preserve"> </w:t>
      </w:r>
      <w:r>
        <w:rPr>
          <w:rFonts w:ascii="Arial"/>
          <w:color w:val="111111"/>
          <w:sz w:val="13"/>
        </w:rPr>
        <w:t>Cohort</w:t>
      </w:r>
      <w:r>
        <w:rPr>
          <w:rFonts w:ascii="Arial"/>
          <w:color w:val="111111"/>
          <w:spacing w:val="-16"/>
          <w:sz w:val="13"/>
        </w:rPr>
        <w:t xml:space="preserve"> </w:t>
      </w:r>
      <w:r>
        <w:rPr>
          <w:rFonts w:ascii="Arial"/>
          <w:color w:val="0F0F0F"/>
          <w:sz w:val="13"/>
        </w:rPr>
        <w:t>Study</w:t>
      </w:r>
      <w:r>
        <w:rPr>
          <w:rFonts w:ascii="Arial"/>
          <w:color w:val="0F0F0F"/>
          <w:spacing w:val="-20"/>
          <w:sz w:val="13"/>
        </w:rPr>
        <w:t xml:space="preserve"> </w:t>
      </w:r>
      <w:r>
        <w:rPr>
          <w:rFonts w:ascii="Arial"/>
          <w:color w:val="1D1D1D"/>
          <w:sz w:val="13"/>
        </w:rPr>
        <w:t>on</w:t>
      </w:r>
      <w:r>
        <w:rPr>
          <w:rFonts w:ascii="Arial"/>
          <w:color w:val="1D1D1D"/>
          <w:spacing w:val="-22"/>
          <w:sz w:val="13"/>
        </w:rPr>
        <w:t xml:space="preserve"> </w:t>
      </w:r>
      <w:r>
        <w:rPr>
          <w:rFonts w:ascii="Arial"/>
          <w:color w:val="111111"/>
          <w:sz w:val="13"/>
        </w:rPr>
        <w:t xml:space="preserve">Coronary </w:t>
      </w:r>
      <w:r>
        <w:rPr>
          <w:rFonts w:ascii="Arial"/>
          <w:color w:val="0F0F0F"/>
          <w:sz w:val="13"/>
        </w:rPr>
        <w:t xml:space="preserve">Endartereclomy </w:t>
      </w:r>
      <w:r>
        <w:rPr>
          <w:rFonts w:ascii="Arial"/>
          <w:color w:val="1C1C1C"/>
          <w:sz w:val="13"/>
        </w:rPr>
        <w:t xml:space="preserve">Outcomes </w:t>
      </w:r>
      <w:r>
        <w:rPr>
          <w:rFonts w:ascii="Arial"/>
          <w:color w:val="3A3A3A"/>
          <w:sz w:val="13"/>
        </w:rPr>
        <w:t xml:space="preserve">in </w:t>
      </w:r>
      <w:r>
        <w:rPr>
          <w:rFonts w:ascii="Arial"/>
          <w:color w:val="111111"/>
          <w:sz w:val="13"/>
        </w:rPr>
        <w:t xml:space="preserve">Coronary </w:t>
      </w:r>
      <w:r>
        <w:rPr>
          <w:rFonts w:ascii="Arial"/>
          <w:color w:val="262626"/>
          <w:sz w:val="13"/>
        </w:rPr>
        <w:t xml:space="preserve">Artery </w:t>
      </w:r>
      <w:r>
        <w:rPr>
          <w:rFonts w:ascii="Arial"/>
          <w:color w:val="232323"/>
          <w:sz w:val="13"/>
        </w:rPr>
        <w:t xml:space="preserve">Bypass Graft </w:t>
      </w:r>
      <w:r>
        <w:rPr>
          <w:rFonts w:ascii="Arial"/>
          <w:color w:val="0C0C0C"/>
          <w:sz w:val="13"/>
        </w:rPr>
        <w:t xml:space="preserve">Patients. </w:t>
      </w:r>
      <w:r>
        <w:rPr>
          <w:rFonts w:ascii="Arial"/>
          <w:color w:val="181818"/>
          <w:sz w:val="13"/>
        </w:rPr>
        <w:t xml:space="preserve">Cureus </w:t>
      </w:r>
      <w:r>
        <w:rPr>
          <w:rFonts w:ascii="Arial"/>
          <w:color w:val="0F0F0F"/>
          <w:sz w:val="13"/>
        </w:rPr>
        <w:t xml:space="preserve">11(3).' </w:t>
      </w:r>
      <w:r>
        <w:rPr>
          <w:rFonts w:ascii="Arial"/>
          <w:color w:val="080808"/>
          <w:sz w:val="13"/>
        </w:rPr>
        <w:t xml:space="preserve">e4278. </w:t>
      </w:r>
      <w:r>
        <w:rPr>
          <w:rFonts w:ascii="Arial"/>
          <w:color w:val="1F1F1F"/>
          <w:sz w:val="13"/>
        </w:rPr>
        <w:t xml:space="preserve">DOI </w:t>
      </w:r>
      <w:r>
        <w:rPr>
          <w:rFonts w:ascii="Arial"/>
          <w:color w:val="0F0F0F"/>
          <w:sz w:val="13"/>
        </w:rPr>
        <w:t>10.7759/cureus.4279</w:t>
      </w:r>
    </w:p>
    <w:p w:rsidR="00F13C1D" w:rsidRDefault="00F13C1D">
      <w:pPr>
        <w:spacing w:line="261" w:lineRule="auto"/>
        <w:rPr>
          <w:rFonts w:ascii="Arial"/>
          <w:sz w:val="13"/>
        </w:rPr>
        <w:sectPr w:rsidR="00F13C1D">
          <w:type w:val="continuous"/>
          <w:pgSz w:w="12240" w:h="15840"/>
          <w:pgMar w:top="1500" w:right="1480" w:bottom="280" w:left="1340" w:header="720" w:footer="720" w:gutter="0"/>
          <w:cols w:num="2" w:space="720" w:equalWidth="0">
            <w:col w:w="2682" w:space="40"/>
            <w:col w:w="6698"/>
          </w:cols>
        </w:sectPr>
      </w:pPr>
    </w:p>
    <w:p w:rsidR="00F13C1D" w:rsidRDefault="00F13C1D">
      <w:pPr>
        <w:pStyle w:val="BodyText"/>
        <w:rPr>
          <w:rFonts w:ascii="Arial"/>
          <w:sz w:val="20"/>
        </w:rPr>
      </w:pPr>
    </w:p>
    <w:p w:rsidR="00F13C1D" w:rsidRDefault="00F13C1D">
      <w:pPr>
        <w:pStyle w:val="BodyText"/>
        <w:rPr>
          <w:rFonts w:ascii="Arial"/>
          <w:sz w:val="20"/>
        </w:rPr>
      </w:pPr>
    </w:p>
    <w:p w:rsidR="00F13C1D" w:rsidRDefault="00F13C1D">
      <w:pPr>
        <w:pStyle w:val="BodyText"/>
        <w:rPr>
          <w:rFonts w:ascii="Arial"/>
          <w:sz w:val="20"/>
        </w:rPr>
      </w:pPr>
    </w:p>
    <w:p w:rsidR="00F13C1D" w:rsidRDefault="00F13C1D">
      <w:pPr>
        <w:pStyle w:val="BodyText"/>
        <w:spacing w:before="6"/>
        <w:rPr>
          <w:rFonts w:ascii="Arial"/>
          <w:sz w:val="19"/>
        </w:rPr>
      </w:pPr>
    </w:p>
    <w:p w:rsidR="00F13C1D" w:rsidRDefault="001D2EC7">
      <w:pPr>
        <w:tabs>
          <w:tab w:val="left" w:pos="7229"/>
        </w:tabs>
        <w:spacing w:line="70" w:lineRule="exact"/>
        <w:ind w:left="1385" w:right="-44"/>
        <w:rPr>
          <w:rFonts w:ascii="Arial"/>
          <w:sz w:val="3"/>
        </w:rPr>
      </w:pPr>
      <w:r>
        <w:rPr>
          <w:rFonts w:ascii="Arial"/>
          <w:sz w:val="3"/>
        </w:rPr>
      </w:r>
      <w:r>
        <w:rPr>
          <w:rFonts w:ascii="Arial"/>
          <w:sz w:val="3"/>
        </w:rPr>
        <w:pict>
          <v:group id="_x0000_s1029" style="width:26.3pt;height:1.55pt;mso-position-horizontal-relative:char;mso-position-vertical-relative:line" coordsize="526,31">
            <v:line id="_x0000_s1030" style="position:absolute" from="0,15" to="525,15" strokecolor="#5b6464" strokeweight=".53686mm"/>
            <w10:wrap type="none"/>
            <w10:anchorlock/>
          </v:group>
        </w:pict>
      </w:r>
      <w:r w:rsidR="00760D48">
        <w:rPr>
          <w:rFonts w:ascii="Arial"/>
          <w:sz w:val="3"/>
        </w:rPr>
        <w:tab/>
      </w:r>
      <w:r>
        <w:rPr>
          <w:rFonts w:ascii="Arial"/>
          <w:position w:val="2"/>
          <w:sz w:val="3"/>
        </w:rPr>
      </w:r>
      <w:r>
        <w:rPr>
          <w:rFonts w:ascii="Arial"/>
          <w:position w:val="2"/>
          <w:sz w:val="3"/>
        </w:rPr>
        <w:pict>
          <v:group id="_x0000_s1027" style="width:107.3pt;height:1.55pt;mso-position-horizontal-relative:char;mso-position-vertical-relative:line" coordsize="2146,31">
            <v:line id="_x0000_s1028" style="position:absolute" from="0,15" to="2146,15" strokecolor="#5b6464" strokeweight=".53686mm"/>
            <w10:wrap type="none"/>
            <w10:anchorlock/>
          </v:group>
        </w:pict>
      </w:r>
    </w:p>
    <w:p w:rsidR="00F13C1D" w:rsidRDefault="00F13C1D">
      <w:pPr>
        <w:pStyle w:val="BodyText"/>
        <w:rPr>
          <w:rFonts w:ascii="Arial"/>
          <w:sz w:val="20"/>
        </w:rPr>
      </w:pPr>
    </w:p>
    <w:p w:rsidR="00F13C1D" w:rsidRDefault="00F13C1D">
      <w:pPr>
        <w:pStyle w:val="BodyText"/>
        <w:spacing w:before="10"/>
        <w:rPr>
          <w:rFonts w:ascii="Arial"/>
          <w:sz w:val="20"/>
        </w:rPr>
      </w:pPr>
    </w:p>
    <w:p w:rsidR="00F13C1D" w:rsidRDefault="001D2EC7">
      <w:pPr>
        <w:spacing w:before="65"/>
        <w:ind w:left="1156"/>
        <w:rPr>
          <w:rFonts w:ascii="Consolas"/>
          <w:sz w:val="23"/>
        </w:rPr>
      </w:pPr>
      <w:r>
        <w:pict>
          <v:line id="_x0000_s1026" style="position:absolute;left:0;text-align:left;z-index:251670528;mso-position-horizontal-relative:page" from="242.85pt,-25.05pt" to="323.5pt,-25.05pt" strokecolor="#5b6464" strokeweight=".53686mm">
            <w10:wrap anchorx="page"/>
          </v:line>
        </w:pict>
      </w:r>
      <w:r w:rsidR="00760D48">
        <w:rPr>
          <w:rFonts w:ascii="Consolas"/>
          <w:sz w:val="23"/>
        </w:rPr>
        <w:t>Ciueus</w:t>
      </w:r>
    </w:p>
    <w:p w:rsidR="00F13C1D" w:rsidRDefault="00F13C1D">
      <w:pPr>
        <w:pStyle w:val="BodyText"/>
        <w:spacing w:before="6"/>
        <w:rPr>
          <w:rFonts w:ascii="Consolas"/>
          <w:sz w:val="9"/>
        </w:rPr>
      </w:pPr>
    </w:p>
    <w:p w:rsidR="00F13C1D" w:rsidRDefault="00760D48">
      <w:pPr>
        <w:pStyle w:val="BodyText"/>
        <w:spacing w:before="103"/>
        <w:ind w:left="3078"/>
      </w:pPr>
      <w:r>
        <w:t xml:space="preserve">segments </w:t>
      </w:r>
      <w:r>
        <w:rPr>
          <w:color w:val="2D2D2D"/>
        </w:rPr>
        <w:t xml:space="preserve">as </w:t>
      </w:r>
      <w:r>
        <w:rPr>
          <w:color w:val="242424"/>
        </w:rPr>
        <w:t xml:space="preserve">well </w:t>
      </w:r>
      <w:r>
        <w:rPr>
          <w:color w:val="2B2B2B"/>
        </w:rPr>
        <w:t xml:space="preserve">as </w:t>
      </w:r>
      <w:r>
        <w:rPr>
          <w:color w:val="262626"/>
        </w:rPr>
        <w:t xml:space="preserve">atheromatous </w:t>
      </w:r>
      <w:r>
        <w:rPr>
          <w:color w:val="131313"/>
        </w:rPr>
        <w:t xml:space="preserve">deposits. it </w:t>
      </w:r>
      <w:r>
        <w:rPr>
          <w:color w:val="161616"/>
        </w:rPr>
        <w:t xml:space="preserve">is </w:t>
      </w:r>
      <w:r>
        <w:rPr>
          <w:color w:val="2F2F2F"/>
        </w:rPr>
        <w:t xml:space="preserve">a </w:t>
      </w:r>
      <w:r>
        <w:rPr>
          <w:color w:val="131313"/>
        </w:rPr>
        <w:t xml:space="preserve">procedure </w:t>
      </w:r>
      <w:r>
        <w:t xml:space="preserve">necessitated </w:t>
      </w:r>
      <w:r>
        <w:rPr>
          <w:color w:val="343434"/>
        </w:rPr>
        <w:t xml:space="preserve">in </w:t>
      </w:r>
      <w:r>
        <w:t>complicated cases</w:t>
      </w:r>
    </w:p>
    <w:p w:rsidR="00F13C1D" w:rsidRDefault="00760D48">
      <w:pPr>
        <w:pStyle w:val="BodyText"/>
        <w:spacing w:before="4"/>
        <w:rPr>
          <w:sz w:val="17"/>
        </w:rPr>
      </w:pPr>
      <w:r>
        <w:rPr>
          <w:noProof/>
          <w:lang w:bidi="ar-SA"/>
        </w:rPr>
        <w:drawing>
          <wp:anchor distT="0" distB="0" distL="0" distR="0" simplePos="0" relativeHeight="5" behindDoc="0" locked="0" layoutInCell="1" allowOverlap="1">
            <wp:simplePos x="0" y="0"/>
            <wp:positionH relativeFrom="page">
              <wp:posOffset>2806204</wp:posOffset>
            </wp:positionH>
            <wp:positionV relativeFrom="paragraph">
              <wp:posOffset>154416</wp:posOffset>
            </wp:positionV>
            <wp:extent cx="3286823" cy="21355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5" cstate="print"/>
                    <a:stretch>
                      <a:fillRect/>
                    </a:stretch>
                  </pic:blipFill>
                  <pic:spPr>
                    <a:xfrm>
                      <a:off x="0" y="0"/>
                      <a:ext cx="3286823" cy="213550"/>
                    </a:xfrm>
                    <a:prstGeom prst="rect">
                      <a:avLst/>
                    </a:prstGeom>
                  </pic:spPr>
                </pic:pic>
              </a:graphicData>
            </a:graphic>
          </wp:anchor>
        </w:drawing>
      </w:r>
    </w:p>
    <w:p w:rsidR="00F13C1D" w:rsidRDefault="00760D48">
      <w:pPr>
        <w:pStyle w:val="BodyText"/>
        <w:ind w:left="3072"/>
      </w:pPr>
      <w:r>
        <w:rPr>
          <w:color w:val="111111"/>
        </w:rPr>
        <w:t xml:space="preserve">severe three-vessel </w:t>
      </w:r>
      <w:r>
        <w:rPr>
          <w:color w:val="131313"/>
        </w:rPr>
        <w:t xml:space="preserve">disease </w:t>
      </w:r>
      <w:r>
        <w:rPr>
          <w:color w:val="A1A1A1"/>
        </w:rPr>
        <w:t xml:space="preserve">! </w:t>
      </w:r>
      <w:r>
        <w:rPr>
          <w:color w:val="212121"/>
        </w:rPr>
        <w:t xml:space="preserve">Although </w:t>
      </w:r>
      <w:r>
        <w:rPr>
          <w:color w:val="363636"/>
        </w:rPr>
        <w:t xml:space="preserve">it </w:t>
      </w:r>
      <w:r>
        <w:rPr>
          <w:color w:val="2A2A2A"/>
        </w:rPr>
        <w:t xml:space="preserve">has </w:t>
      </w:r>
      <w:r>
        <w:rPr>
          <w:color w:val="151515"/>
        </w:rPr>
        <w:t xml:space="preserve">proven </w:t>
      </w:r>
      <w:r>
        <w:rPr>
          <w:color w:val="313131"/>
        </w:rPr>
        <w:t xml:space="preserve">to </w:t>
      </w:r>
      <w:r>
        <w:rPr>
          <w:color w:val="1C1C1C"/>
        </w:rPr>
        <w:t xml:space="preserve">be </w:t>
      </w:r>
      <w:r>
        <w:rPr>
          <w:color w:val="363636"/>
        </w:rPr>
        <w:t xml:space="preserve">an </w:t>
      </w:r>
      <w:r>
        <w:rPr>
          <w:color w:val="1A1A1A"/>
        </w:rPr>
        <w:t xml:space="preserve">effective </w:t>
      </w:r>
      <w:r>
        <w:rPr>
          <w:color w:val="161616"/>
        </w:rPr>
        <w:t xml:space="preserve">coilateral </w:t>
      </w:r>
      <w:r>
        <w:rPr>
          <w:color w:val="262626"/>
        </w:rPr>
        <w:t>technique,</w:t>
      </w:r>
    </w:p>
    <w:p w:rsidR="00F13C1D" w:rsidRDefault="00F13C1D">
      <w:pPr>
        <w:pStyle w:val="BodyText"/>
        <w:spacing w:before="5"/>
        <w:rPr>
          <w:sz w:val="16"/>
        </w:rPr>
      </w:pPr>
    </w:p>
    <w:p w:rsidR="00F13C1D" w:rsidRDefault="00760D48">
      <w:pPr>
        <w:pStyle w:val="Heading1"/>
        <w:tabs>
          <w:tab w:val="left" w:pos="5982"/>
        </w:tabs>
        <w:spacing w:before="1"/>
        <w:ind w:left="3073"/>
      </w:pPr>
      <w:r>
        <w:t>and</w:t>
      </w:r>
      <w:r>
        <w:rPr>
          <w:spacing w:val="-17"/>
        </w:rPr>
        <w:t xml:space="preserve"> </w:t>
      </w:r>
      <w:r>
        <w:rPr>
          <w:color w:val="161616"/>
        </w:rPr>
        <w:t xml:space="preserve">••  </w:t>
      </w:r>
      <w:r>
        <w:rPr>
          <w:color w:val="161616"/>
          <w:spacing w:val="5"/>
        </w:rPr>
        <w:t xml:space="preserve"> </w:t>
      </w:r>
      <w:r>
        <w:rPr>
          <w:color w:val="161616"/>
        </w:rPr>
        <w:t>•</w:t>
      </w:r>
      <w:r>
        <w:rPr>
          <w:color w:val="161616"/>
          <w:spacing w:val="-3"/>
        </w:rPr>
        <w:t xml:space="preserve"> </w:t>
      </w:r>
      <w:r>
        <w:rPr>
          <w:color w:val="161616"/>
        </w:rPr>
        <w:t>'w</w:t>
      </w:r>
      <w:r>
        <w:rPr>
          <w:color w:val="161616"/>
          <w:spacing w:val="-17"/>
        </w:rPr>
        <w:t xml:space="preserve"> </w:t>
      </w:r>
      <w:r>
        <w:t>and</w:t>
      </w:r>
      <w:r>
        <w:rPr>
          <w:spacing w:val="-18"/>
        </w:rPr>
        <w:t xml:space="preserve"> </w:t>
      </w:r>
      <w:r>
        <w:rPr>
          <w:color w:val="0A0A0A"/>
        </w:rPr>
        <w:t>fell</w:t>
      </w:r>
      <w:r>
        <w:rPr>
          <w:color w:val="0A0A0A"/>
          <w:spacing w:val="-14"/>
        </w:rPr>
        <w:t xml:space="preserve"> </w:t>
      </w:r>
      <w:r>
        <w:rPr>
          <w:color w:val="282828"/>
        </w:rPr>
        <w:t>••‹</w:t>
      </w:r>
      <w:r>
        <w:rPr>
          <w:color w:val="282828"/>
          <w:spacing w:val="-21"/>
        </w:rPr>
        <w:t xml:space="preserve"> </w:t>
      </w:r>
      <w:r>
        <w:rPr>
          <w:color w:val="212121"/>
        </w:rPr>
        <w:t>•i</w:t>
      </w:r>
      <w:r>
        <w:rPr>
          <w:color w:val="212121"/>
          <w:spacing w:val="-17"/>
        </w:rPr>
        <w:t xml:space="preserve"> </w:t>
      </w:r>
      <w:r>
        <w:rPr>
          <w:color w:val="2A2A2A"/>
        </w:rPr>
        <w:t>nor</w:t>
      </w:r>
      <w:r>
        <w:rPr>
          <w:color w:val="2A2A2A"/>
          <w:spacing w:val="10"/>
        </w:rPr>
        <w:t xml:space="preserve"> </w:t>
      </w:r>
      <w:r>
        <w:rPr>
          <w:color w:val="262626"/>
        </w:rPr>
        <w:t>for</w:t>
      </w:r>
      <w:r>
        <w:rPr>
          <w:color w:val="262626"/>
          <w:spacing w:val="-17"/>
        </w:rPr>
        <w:t xml:space="preserve"> </w:t>
      </w:r>
      <w:r>
        <w:rPr>
          <w:color w:val="363636"/>
        </w:rPr>
        <w:t>a</w:t>
      </w:r>
      <w:r>
        <w:rPr>
          <w:color w:val="363636"/>
          <w:spacing w:val="-20"/>
        </w:rPr>
        <w:t xml:space="preserve"> </w:t>
      </w:r>
      <w:r>
        <w:rPr>
          <w:color w:val="1A1A1A"/>
        </w:rPr>
        <w:t>whiie</w:t>
      </w:r>
      <w:r>
        <w:rPr>
          <w:color w:val="1A1A1A"/>
        </w:rPr>
        <w:tab/>
      </w:r>
      <w:r>
        <w:rPr>
          <w:color w:val="181818"/>
        </w:rPr>
        <w:t xml:space="preserve">, </w:t>
      </w:r>
      <w:r>
        <w:rPr>
          <w:color w:val="161616"/>
        </w:rPr>
        <w:t xml:space="preserve">However, </w:t>
      </w:r>
      <w:r>
        <w:rPr>
          <w:color w:val="282828"/>
        </w:rPr>
        <w:t xml:space="preserve">Cth </w:t>
      </w:r>
      <w:r>
        <w:rPr>
          <w:color w:val="232323"/>
        </w:rPr>
        <w:t xml:space="preserve">improvement </w:t>
      </w:r>
      <w:r>
        <w:rPr>
          <w:color w:val="383838"/>
        </w:rPr>
        <w:t xml:space="preserve">in </w:t>
      </w:r>
      <w:r>
        <w:rPr>
          <w:color w:val="2A2A2A"/>
        </w:rPr>
        <w:t>.urgicai</w:t>
      </w:r>
    </w:p>
    <w:p w:rsidR="00F13C1D" w:rsidRDefault="00F13C1D">
      <w:pPr>
        <w:pStyle w:val="BodyText"/>
        <w:spacing w:before="1"/>
        <w:rPr>
          <w:sz w:val="15"/>
        </w:rPr>
      </w:pPr>
    </w:p>
    <w:p w:rsidR="00F13C1D" w:rsidRDefault="00760D48">
      <w:pPr>
        <w:tabs>
          <w:tab w:val="left" w:pos="4332"/>
        </w:tabs>
        <w:ind w:left="3066"/>
        <w:rPr>
          <w:sz w:val="16"/>
        </w:rPr>
      </w:pPr>
      <w:r>
        <w:rPr>
          <w:w w:val="95"/>
          <w:sz w:val="16"/>
        </w:rPr>
        <w:t>selected</w:t>
      </w:r>
      <w:r>
        <w:rPr>
          <w:spacing w:val="-21"/>
          <w:w w:val="95"/>
          <w:sz w:val="16"/>
        </w:rPr>
        <w:t xml:space="preserve"> </w:t>
      </w:r>
      <w:r>
        <w:rPr>
          <w:color w:val="131313"/>
          <w:spacing w:val="-6"/>
          <w:w w:val="95"/>
          <w:sz w:val="16"/>
        </w:rPr>
        <w:t>coho</w:t>
      </w:r>
      <w:r>
        <w:rPr>
          <w:color w:val="777777"/>
          <w:spacing w:val="-6"/>
          <w:w w:val="95"/>
          <w:sz w:val="16"/>
        </w:rPr>
        <w:t>‘</w:t>
      </w:r>
      <w:r>
        <w:rPr>
          <w:color w:val="131313"/>
          <w:spacing w:val="-6"/>
          <w:w w:val="95"/>
          <w:sz w:val="16"/>
        </w:rPr>
        <w:t>ns</w:t>
      </w:r>
      <w:r>
        <w:rPr>
          <w:color w:val="131313"/>
          <w:spacing w:val="-6"/>
          <w:w w:val="95"/>
          <w:sz w:val="16"/>
        </w:rPr>
        <w:tab/>
      </w:r>
      <w:r>
        <w:rPr>
          <w:color w:val="232323"/>
          <w:w w:val="95"/>
          <w:sz w:val="16"/>
        </w:rPr>
        <w:t>.</w:t>
      </w:r>
      <w:r>
        <w:rPr>
          <w:color w:val="232323"/>
          <w:spacing w:val="-15"/>
          <w:w w:val="95"/>
          <w:sz w:val="16"/>
        </w:rPr>
        <w:t xml:space="preserve"> </w:t>
      </w:r>
      <w:r>
        <w:rPr>
          <w:color w:val="1C1C1C"/>
          <w:w w:val="95"/>
          <w:sz w:val="16"/>
        </w:rPr>
        <w:t>ror</w:t>
      </w:r>
      <w:r>
        <w:rPr>
          <w:color w:val="1C1C1C"/>
          <w:spacing w:val="-12"/>
          <w:w w:val="95"/>
          <w:sz w:val="16"/>
        </w:rPr>
        <w:t xml:space="preserve"> </w:t>
      </w:r>
      <w:r>
        <w:rPr>
          <w:color w:val="1C1C1C"/>
          <w:w w:val="95"/>
          <w:sz w:val="16"/>
        </w:rPr>
        <w:t>example,</w:t>
      </w:r>
      <w:r>
        <w:rPr>
          <w:color w:val="1C1C1C"/>
          <w:spacing w:val="-4"/>
          <w:w w:val="95"/>
          <w:sz w:val="16"/>
        </w:rPr>
        <w:t xml:space="preserve"> </w:t>
      </w:r>
      <w:r>
        <w:rPr>
          <w:color w:val="282828"/>
          <w:w w:val="95"/>
          <w:sz w:val="16"/>
        </w:rPr>
        <w:t>a</w:t>
      </w:r>
      <w:r>
        <w:rPr>
          <w:color w:val="282828"/>
          <w:spacing w:val="-14"/>
          <w:w w:val="95"/>
          <w:sz w:val="16"/>
        </w:rPr>
        <w:t xml:space="preserve"> </w:t>
      </w:r>
      <w:r>
        <w:rPr>
          <w:color w:val="151515"/>
          <w:w w:val="95"/>
          <w:sz w:val="16"/>
        </w:rPr>
        <w:t>retrospective</w:t>
      </w:r>
      <w:r>
        <w:rPr>
          <w:color w:val="151515"/>
          <w:spacing w:val="-6"/>
          <w:w w:val="95"/>
          <w:sz w:val="16"/>
        </w:rPr>
        <w:t xml:space="preserve"> </w:t>
      </w:r>
      <w:r>
        <w:rPr>
          <w:color w:val="2A2A2A"/>
          <w:w w:val="95"/>
          <w:sz w:val="16"/>
        </w:rPr>
        <w:t>study</w:t>
      </w:r>
      <w:r>
        <w:rPr>
          <w:color w:val="2A2A2A"/>
          <w:spacing w:val="-12"/>
          <w:w w:val="95"/>
          <w:sz w:val="16"/>
        </w:rPr>
        <w:t xml:space="preserve"> </w:t>
      </w:r>
      <w:r>
        <w:rPr>
          <w:color w:val="232323"/>
          <w:w w:val="95"/>
          <w:sz w:val="16"/>
        </w:rPr>
        <w:t>showed</w:t>
      </w:r>
      <w:r>
        <w:rPr>
          <w:color w:val="232323"/>
          <w:spacing w:val="-9"/>
          <w:w w:val="95"/>
          <w:sz w:val="16"/>
        </w:rPr>
        <w:t xml:space="preserve"> </w:t>
      </w:r>
      <w:r>
        <w:rPr>
          <w:color w:val="2A2A2A"/>
          <w:w w:val="95"/>
          <w:sz w:val="16"/>
        </w:rPr>
        <w:t>that</w:t>
      </w:r>
      <w:r>
        <w:rPr>
          <w:color w:val="2A2A2A"/>
          <w:spacing w:val="-10"/>
          <w:w w:val="95"/>
          <w:sz w:val="16"/>
        </w:rPr>
        <w:t xml:space="preserve"> </w:t>
      </w:r>
      <w:r>
        <w:rPr>
          <w:color w:val="464646"/>
          <w:w w:val="95"/>
          <w:sz w:val="16"/>
        </w:rPr>
        <w:t>in</w:t>
      </w:r>
      <w:r>
        <w:rPr>
          <w:color w:val="464646"/>
          <w:spacing w:val="-18"/>
          <w:w w:val="95"/>
          <w:sz w:val="16"/>
        </w:rPr>
        <w:t xml:space="preserve"> </w:t>
      </w:r>
      <w:r>
        <w:rPr>
          <w:color w:val="2D2D2D"/>
          <w:w w:val="95"/>
          <w:sz w:val="16"/>
        </w:rPr>
        <w:t>some</w:t>
      </w:r>
      <w:r>
        <w:rPr>
          <w:color w:val="2D2D2D"/>
          <w:spacing w:val="-11"/>
          <w:w w:val="95"/>
          <w:sz w:val="16"/>
        </w:rPr>
        <w:t xml:space="preserve"> </w:t>
      </w:r>
      <w:r>
        <w:rPr>
          <w:color w:val="1C1C1C"/>
          <w:w w:val="95"/>
          <w:sz w:val="16"/>
        </w:rPr>
        <w:t>instances,</w:t>
      </w:r>
      <w:r>
        <w:rPr>
          <w:color w:val="1C1C1C"/>
          <w:spacing w:val="-4"/>
          <w:w w:val="95"/>
          <w:sz w:val="16"/>
        </w:rPr>
        <w:t xml:space="preserve"> </w:t>
      </w:r>
      <w:r>
        <w:rPr>
          <w:color w:val="2A2A2A"/>
          <w:w w:val="95"/>
          <w:sz w:val="16"/>
        </w:rPr>
        <w:t>iong</w:t>
      </w:r>
    </w:p>
    <w:p w:rsidR="00F13C1D" w:rsidRDefault="00F13C1D">
      <w:pPr>
        <w:pStyle w:val="BodyText"/>
        <w:rPr>
          <w:sz w:val="10"/>
        </w:rPr>
      </w:pPr>
    </w:p>
    <w:p w:rsidR="00F13C1D" w:rsidRDefault="00760D48">
      <w:pPr>
        <w:pStyle w:val="BodyText"/>
        <w:spacing w:before="103"/>
        <w:ind w:left="3062"/>
      </w:pPr>
      <w:r>
        <w:rPr>
          <w:color w:val="232323"/>
        </w:rPr>
        <w:t xml:space="preserve">is </w:t>
      </w:r>
      <w:r>
        <w:rPr>
          <w:color w:val="0A0A0A"/>
        </w:rPr>
        <w:t xml:space="preserve">•s•' •# </w:t>
      </w:r>
      <w:r>
        <w:rPr>
          <w:color w:val="1C1C1C"/>
        </w:rPr>
        <w:t xml:space="preserve">for </w:t>
      </w:r>
      <w:r>
        <w:rPr>
          <w:color w:val="232323"/>
        </w:rPr>
        <w:t xml:space="preserve">the </w:t>
      </w:r>
      <w:r>
        <w:t xml:space="preserve">excision </w:t>
      </w:r>
      <w:r>
        <w:rPr>
          <w:color w:val="1D1D1D"/>
        </w:rPr>
        <w:t xml:space="preserve">°t </w:t>
      </w:r>
      <w:r>
        <w:rPr>
          <w:color w:val="161616"/>
        </w:rPr>
        <w:t xml:space="preserve">•n </w:t>
      </w:r>
      <w:r>
        <w:rPr>
          <w:color w:val="0F0F0F"/>
        </w:rPr>
        <w:t xml:space="preserve">atherosclerotic </w:t>
      </w:r>
      <w:r>
        <w:rPr>
          <w:color w:val="111111"/>
        </w:rPr>
        <w:t xml:space="preserve">plaque, </w:t>
      </w:r>
      <w:r>
        <w:rPr>
          <w:color w:val="2A2A2A"/>
        </w:rPr>
        <w:t xml:space="preserve">with </w:t>
      </w:r>
      <w:r>
        <w:rPr>
          <w:color w:val="232323"/>
        </w:rPr>
        <w:t xml:space="preserve">favorable </w:t>
      </w:r>
      <w:r>
        <w:rPr>
          <w:color w:val="2D2D2D"/>
        </w:rPr>
        <w:t xml:space="preserve">carry and </w:t>
      </w:r>
      <w:r>
        <w:rPr>
          <w:color w:val="383838"/>
        </w:rPr>
        <w:t xml:space="preserve">late </w:t>
      </w:r>
      <w:r>
        <w:rPr>
          <w:color w:val="0C0C0C"/>
        </w:rPr>
        <w:t>outcomes,</w:t>
      </w:r>
    </w:p>
    <w:p w:rsidR="00F13C1D" w:rsidRDefault="00F13C1D">
      <w:pPr>
        <w:pStyle w:val="BodyText"/>
        <w:rPr>
          <w:sz w:val="16"/>
        </w:rPr>
      </w:pPr>
    </w:p>
    <w:p w:rsidR="00F13C1D" w:rsidRDefault="00F13C1D">
      <w:pPr>
        <w:pStyle w:val="BodyText"/>
        <w:rPr>
          <w:sz w:val="16"/>
        </w:rPr>
      </w:pPr>
    </w:p>
    <w:p w:rsidR="00F13C1D" w:rsidRDefault="00F13C1D">
      <w:pPr>
        <w:pStyle w:val="BodyText"/>
        <w:rPr>
          <w:sz w:val="23"/>
        </w:rPr>
      </w:pPr>
    </w:p>
    <w:p w:rsidR="00F13C1D" w:rsidRDefault="00760D48">
      <w:pPr>
        <w:pStyle w:val="BodyText"/>
        <w:spacing w:after="16"/>
        <w:ind w:left="3049"/>
        <w:rPr>
          <w:rFonts w:ascii="Courier New" w:hAnsi="Courier New"/>
        </w:rPr>
      </w:pPr>
      <w:r>
        <w:rPr>
          <w:rFonts w:ascii="Courier New" w:hAnsi="Courier New"/>
        </w:rPr>
        <w:t xml:space="preserve">""°"'#be'n"easn85ued*Gefu'ue.Soyue'aI </w:t>
      </w:r>
      <w:r>
        <w:rPr>
          <w:rFonts w:ascii="Courier New" w:hAnsi="Courier New"/>
          <w:color w:val="131313"/>
        </w:rPr>
        <w:t>‹onduñedame( anaysisatGe</w:t>
      </w:r>
    </w:p>
    <w:p w:rsidR="00F13C1D" w:rsidRDefault="00760D48">
      <w:pPr>
        <w:pStyle w:val="BodyText"/>
        <w:spacing w:line="222" w:lineRule="exact"/>
        <w:ind w:left="3067"/>
        <w:rPr>
          <w:rFonts w:ascii="Courier New"/>
          <w:sz w:val="20"/>
        </w:rPr>
      </w:pPr>
      <w:r>
        <w:rPr>
          <w:rFonts w:ascii="Courier New"/>
          <w:noProof/>
          <w:position w:val="-3"/>
          <w:sz w:val="20"/>
          <w:lang w:bidi="ar-SA"/>
        </w:rPr>
        <w:drawing>
          <wp:inline distT="0" distB="0" distL="0" distR="0">
            <wp:extent cx="3413516" cy="14116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6" cstate="print"/>
                    <a:stretch>
                      <a:fillRect/>
                    </a:stretch>
                  </pic:blipFill>
                  <pic:spPr>
                    <a:xfrm>
                      <a:off x="0" y="0"/>
                      <a:ext cx="3413516" cy="141160"/>
                    </a:xfrm>
                    <a:prstGeom prst="rect">
                      <a:avLst/>
                    </a:prstGeom>
                  </pic:spPr>
                </pic:pic>
              </a:graphicData>
            </a:graphic>
          </wp:inline>
        </w:drawing>
      </w:r>
    </w:p>
    <w:p w:rsidR="00F13C1D" w:rsidRDefault="00760D48">
      <w:pPr>
        <w:pStyle w:val="BodyText"/>
        <w:spacing w:before="8"/>
        <w:rPr>
          <w:rFonts w:ascii="Courier New"/>
          <w:sz w:val="10"/>
        </w:rPr>
      </w:pPr>
      <w:r>
        <w:rPr>
          <w:noProof/>
          <w:lang w:bidi="ar-SA"/>
        </w:rPr>
        <w:drawing>
          <wp:anchor distT="0" distB="0" distL="0" distR="0" simplePos="0" relativeHeight="6" behindDoc="0" locked="0" layoutInCell="1" allowOverlap="1">
            <wp:simplePos x="0" y="0"/>
            <wp:positionH relativeFrom="page">
              <wp:posOffset>2791707</wp:posOffset>
            </wp:positionH>
            <wp:positionV relativeFrom="paragraph">
              <wp:posOffset>101824</wp:posOffset>
            </wp:positionV>
            <wp:extent cx="3460575" cy="37642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7" cstate="print"/>
                    <a:stretch>
                      <a:fillRect/>
                    </a:stretch>
                  </pic:blipFill>
                  <pic:spPr>
                    <a:xfrm>
                      <a:off x="0" y="0"/>
                      <a:ext cx="3460575" cy="376427"/>
                    </a:xfrm>
                    <a:prstGeom prst="rect">
                      <a:avLst/>
                    </a:prstGeom>
                  </pic:spPr>
                </pic:pic>
              </a:graphicData>
            </a:graphic>
          </wp:anchor>
        </w:drawing>
      </w:r>
    </w:p>
    <w:p w:rsidR="00F13C1D" w:rsidRDefault="00760D48">
      <w:pPr>
        <w:pStyle w:val="BodyText"/>
        <w:spacing w:before="107"/>
        <w:ind w:left="3053"/>
      </w:pPr>
      <w:r>
        <w:rPr>
          <w:color w:val="282828"/>
        </w:rPr>
        <w:t xml:space="preserve">to </w:t>
      </w:r>
      <w:r>
        <w:rPr>
          <w:color w:val="1F1F1F"/>
        </w:rPr>
        <w:t xml:space="preserve">our </w:t>
      </w:r>
      <w:r>
        <w:rPr>
          <w:color w:val="181818"/>
        </w:rPr>
        <w:t xml:space="preserve">institution </w:t>
      </w:r>
      <w:r>
        <w:rPr>
          <w:color w:val="2F2F2F"/>
        </w:rPr>
        <w:t xml:space="preserve">belongs </w:t>
      </w:r>
      <w:r>
        <w:rPr>
          <w:color w:val="313131"/>
        </w:rPr>
        <w:t xml:space="preserve">to </w:t>
      </w:r>
      <w:r>
        <w:rPr>
          <w:color w:val="333333"/>
        </w:rPr>
        <w:t xml:space="preserve">a </w:t>
      </w:r>
      <w:r>
        <w:rPr>
          <w:color w:val="2A2A2A"/>
        </w:rPr>
        <w:t xml:space="preserve">demographic </w:t>
      </w:r>
      <w:r>
        <w:rPr>
          <w:color w:val="212121"/>
        </w:rPr>
        <w:t xml:space="preserve">which </w:t>
      </w:r>
      <w:r>
        <w:rPr>
          <w:color w:val="1A1A1A"/>
        </w:rPr>
        <w:t xml:space="preserve">includes </w:t>
      </w:r>
      <w:r>
        <w:rPr>
          <w:color w:val="343434"/>
        </w:rPr>
        <w:t xml:space="preserve">older </w:t>
      </w:r>
      <w:r>
        <w:rPr>
          <w:color w:val="2A2A2A"/>
        </w:rPr>
        <w:t xml:space="preserve">patients </w:t>
      </w:r>
      <w:r>
        <w:rPr>
          <w:color w:val="232323"/>
        </w:rPr>
        <w:t xml:space="preserve">with </w:t>
      </w:r>
      <w:r>
        <w:rPr>
          <w:color w:val="262626"/>
        </w:rPr>
        <w:t xml:space="preserve">more </w:t>
      </w:r>
      <w:r>
        <w:rPr>
          <w:color w:val="0C0C0C"/>
        </w:rPr>
        <w:t>severe</w:t>
      </w:r>
    </w:p>
    <w:p w:rsidR="00F13C1D" w:rsidRDefault="00F13C1D">
      <w:pPr>
        <w:pStyle w:val="BodyText"/>
        <w:rPr>
          <w:sz w:val="20"/>
        </w:rPr>
      </w:pPr>
    </w:p>
    <w:p w:rsidR="00F13C1D" w:rsidRDefault="00760D48">
      <w:pPr>
        <w:pStyle w:val="BodyText"/>
        <w:spacing w:before="4"/>
        <w:rPr>
          <w:sz w:val="15"/>
        </w:rPr>
      </w:pPr>
      <w:r>
        <w:rPr>
          <w:noProof/>
          <w:lang w:bidi="ar-SA"/>
        </w:rPr>
        <w:drawing>
          <wp:anchor distT="0" distB="0" distL="0" distR="0" simplePos="0" relativeHeight="7" behindDoc="0" locked="0" layoutInCell="1" allowOverlap="1">
            <wp:simplePos x="0" y="0"/>
            <wp:positionH relativeFrom="page">
              <wp:posOffset>2788083</wp:posOffset>
            </wp:positionH>
            <wp:positionV relativeFrom="paragraph">
              <wp:posOffset>139314</wp:posOffset>
            </wp:positionV>
            <wp:extent cx="3391798" cy="9772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8" cstate="print"/>
                    <a:stretch>
                      <a:fillRect/>
                    </a:stretch>
                  </pic:blipFill>
                  <pic:spPr>
                    <a:xfrm>
                      <a:off x="0" y="0"/>
                      <a:ext cx="3391798" cy="97726"/>
                    </a:xfrm>
                    <a:prstGeom prst="rect">
                      <a:avLst/>
                    </a:prstGeom>
                  </pic:spPr>
                </pic:pic>
              </a:graphicData>
            </a:graphic>
          </wp:anchor>
        </w:drawing>
      </w:r>
    </w:p>
    <w:p w:rsidR="00F13C1D" w:rsidRDefault="00760D48">
      <w:pPr>
        <w:pStyle w:val="BodyText"/>
        <w:ind w:left="3039"/>
      </w:pPr>
      <w:r>
        <w:rPr>
          <w:color w:val="0F0F0F"/>
        </w:rPr>
        <w:t xml:space="preserve">found </w:t>
      </w:r>
      <w:r>
        <w:rPr>
          <w:color w:val="282828"/>
        </w:rPr>
        <w:t xml:space="preserve">'t </w:t>
      </w:r>
      <w:r>
        <w:rPr>
          <w:color w:val="232323"/>
        </w:rPr>
        <w:t xml:space="preserve">to </w:t>
      </w:r>
      <w:r>
        <w:rPr>
          <w:color w:val="2F2F2F"/>
        </w:rPr>
        <w:t xml:space="preserve">be </w:t>
      </w:r>
      <w:r>
        <w:rPr>
          <w:color w:val="2A2A2A"/>
        </w:rPr>
        <w:t xml:space="preserve">among </w:t>
      </w:r>
      <w:r>
        <w:rPr>
          <w:color w:val="2B2B2B"/>
        </w:rPr>
        <w:t xml:space="preserve">variables </w:t>
      </w:r>
      <w:r>
        <w:rPr>
          <w:color w:val="1D1D1D"/>
        </w:rPr>
        <w:t xml:space="preserve">determining </w:t>
      </w:r>
      <w:r>
        <w:rPr>
          <w:color w:val="1A1A1A"/>
        </w:rPr>
        <w:t xml:space="preserve">penoperative </w:t>
      </w:r>
      <w:r>
        <w:rPr>
          <w:color w:val="232323"/>
        </w:rPr>
        <w:t xml:space="preserve">and </w:t>
      </w:r>
      <w:r>
        <w:rPr>
          <w:color w:val="1C1C1C"/>
        </w:rPr>
        <w:t xml:space="preserve">postoperative </w:t>
      </w:r>
      <w:r>
        <w:rPr>
          <w:color w:val="181818"/>
        </w:rPr>
        <w:t xml:space="preserve">mortaiity </w:t>
      </w:r>
      <w:r>
        <w:rPr>
          <w:color w:val="6E6E6E"/>
        </w:rPr>
        <w:t xml:space="preserve">i </w:t>
      </w:r>
      <w:r>
        <w:rPr>
          <w:color w:val="212121"/>
        </w:rPr>
        <w:t xml:space="preserve">. </w:t>
      </w:r>
      <w:r>
        <w:rPr>
          <w:color w:val="161616"/>
        </w:rPr>
        <w:t>High</w:t>
      </w:r>
    </w:p>
    <w:p w:rsidR="00F13C1D" w:rsidRDefault="00760D48">
      <w:pPr>
        <w:pStyle w:val="BodyText"/>
        <w:spacing w:before="10"/>
        <w:rPr>
          <w:sz w:val="15"/>
        </w:rPr>
      </w:pPr>
      <w:r>
        <w:rPr>
          <w:noProof/>
          <w:lang w:bidi="ar-SA"/>
        </w:rPr>
        <w:drawing>
          <wp:anchor distT="0" distB="0" distL="0" distR="0" simplePos="0" relativeHeight="8" behindDoc="0" locked="0" layoutInCell="1" allowOverlap="1">
            <wp:simplePos x="0" y="0"/>
            <wp:positionH relativeFrom="page">
              <wp:posOffset>2780835</wp:posOffset>
            </wp:positionH>
            <wp:positionV relativeFrom="paragraph">
              <wp:posOffset>143319</wp:posOffset>
            </wp:positionV>
            <wp:extent cx="3478675" cy="21717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9" cstate="print"/>
                    <a:stretch>
                      <a:fillRect/>
                    </a:stretch>
                  </pic:blipFill>
                  <pic:spPr>
                    <a:xfrm>
                      <a:off x="0" y="0"/>
                      <a:ext cx="3478675" cy="217170"/>
                    </a:xfrm>
                    <a:prstGeom prst="rect">
                      <a:avLst/>
                    </a:prstGeom>
                  </pic:spPr>
                </pic:pic>
              </a:graphicData>
            </a:graphic>
          </wp:anchor>
        </w:drawing>
      </w:r>
    </w:p>
    <w:p w:rsidR="00F13C1D" w:rsidRDefault="00760D48">
      <w:pPr>
        <w:pStyle w:val="Heading1"/>
        <w:ind w:right="712" w:firstLine="5"/>
      </w:pPr>
      <w:r>
        <w:rPr>
          <w:color w:val="181818"/>
          <w:w w:val="85"/>
        </w:rPr>
        <w:t xml:space="preserve">io»a•r </w:t>
      </w:r>
      <w:r>
        <w:rPr>
          <w:color w:val="1F1F1F"/>
          <w:w w:val="85"/>
        </w:rPr>
        <w:t xml:space="preserve">ri°•Pital </w:t>
      </w:r>
      <w:r>
        <w:rPr>
          <w:color w:val="313131"/>
          <w:w w:val="85"/>
        </w:rPr>
        <w:t xml:space="preserve">ination, </w:t>
      </w:r>
      <w:r>
        <w:rPr>
          <w:color w:val="212121"/>
          <w:w w:val="85"/>
        </w:rPr>
        <w:t xml:space="preserve">r•echanicai </w:t>
      </w:r>
      <w:r>
        <w:rPr>
          <w:color w:val="282828"/>
          <w:w w:val="85"/>
        </w:rPr>
        <w:t xml:space="preserve">ventilation, </w:t>
      </w:r>
      <w:r>
        <w:rPr>
          <w:color w:val="333333"/>
          <w:w w:val="85"/>
        </w:rPr>
        <w:t xml:space="preserve">greater </w:t>
      </w:r>
      <w:r>
        <w:rPr>
          <w:color w:val="151515"/>
          <w:w w:val="85"/>
        </w:rPr>
        <w:t xml:space="preserve">requirements </w:t>
      </w:r>
      <w:r>
        <w:rPr>
          <w:color w:val="2A2A2A"/>
          <w:w w:val="85"/>
        </w:rPr>
        <w:t xml:space="preserve">ror </w:t>
      </w:r>
      <w:r>
        <w:rPr>
          <w:color w:val="232323"/>
          <w:w w:val="85"/>
        </w:rPr>
        <w:t xml:space="preserve">siooa </w:t>
      </w:r>
      <w:r>
        <w:rPr>
          <w:color w:val="0F0F0F"/>
          <w:w w:val="85"/>
        </w:rPr>
        <w:t xml:space="preserve">transru,ion, </w:t>
      </w:r>
      <w:r>
        <w:rPr>
          <w:color w:val="1A1A1A"/>
          <w:w w:val="85"/>
        </w:rPr>
        <w:t xml:space="preserve">ana </w:t>
      </w:r>
      <w:r>
        <w:rPr>
          <w:color w:val="131313"/>
          <w:w w:val="95"/>
        </w:rPr>
        <w:t xml:space="preserve">renai </w:t>
      </w:r>
      <w:r>
        <w:rPr>
          <w:color w:val="2A2A2A"/>
          <w:w w:val="95"/>
        </w:rPr>
        <w:t xml:space="preserve">corrlpiications </w:t>
      </w:r>
      <w:r>
        <w:rPr>
          <w:color w:val="2D2D2D"/>
          <w:w w:val="95"/>
        </w:rPr>
        <w:t xml:space="preserve">Aortic </w:t>
      </w:r>
      <w:r>
        <w:rPr>
          <w:color w:val="313131"/>
          <w:w w:val="95"/>
        </w:rPr>
        <w:t xml:space="preserve">cross-clamp </w:t>
      </w:r>
      <w:r>
        <w:rPr>
          <w:color w:val="424242"/>
          <w:w w:val="95"/>
        </w:rPr>
        <w:t xml:space="preserve">time </w:t>
      </w:r>
      <w:r>
        <w:rPr>
          <w:color w:val="2D2D2D"/>
          <w:w w:val="95"/>
        </w:rPr>
        <w:t xml:space="preserve">is </w:t>
      </w:r>
      <w:r>
        <w:rPr>
          <w:color w:val="343434"/>
          <w:w w:val="95"/>
        </w:rPr>
        <w:t xml:space="preserve">an </w:t>
      </w:r>
      <w:r>
        <w:rPr>
          <w:color w:val="2A2A2A"/>
          <w:w w:val="95"/>
        </w:rPr>
        <w:t xml:space="preserve">inaex </w:t>
      </w:r>
      <w:r>
        <w:rPr>
          <w:color w:val="2B2B2B"/>
          <w:w w:val="95"/>
        </w:rPr>
        <w:t xml:space="preserve">of </w:t>
      </w:r>
      <w:r>
        <w:rPr>
          <w:color w:val="262626"/>
          <w:w w:val="95"/>
        </w:rPr>
        <w:t xml:space="preserve">myocaraial </w:t>
      </w:r>
      <w:r>
        <w:rPr>
          <w:color w:val="111111"/>
          <w:w w:val="95"/>
        </w:rPr>
        <w:t xml:space="preserve">ischemia </w:t>
      </w:r>
      <w:r>
        <w:rPr>
          <w:color w:val="181818"/>
          <w:w w:val="95"/>
        </w:rPr>
        <w:t xml:space="preserve">ana </w:t>
      </w:r>
      <w:r>
        <w:rPr>
          <w:color w:val="1C1C1C"/>
          <w:w w:val="95"/>
        </w:rPr>
        <w:t>is</w:t>
      </w:r>
    </w:p>
    <w:p w:rsidR="00F13C1D" w:rsidRDefault="00760D48">
      <w:pPr>
        <w:pStyle w:val="BodyText"/>
        <w:spacing w:before="6"/>
        <w:rPr>
          <w:sz w:val="16"/>
        </w:rPr>
      </w:pPr>
      <w:r>
        <w:rPr>
          <w:noProof/>
          <w:lang w:bidi="ar-SA"/>
        </w:rPr>
        <w:drawing>
          <wp:anchor distT="0" distB="0" distL="0" distR="0" simplePos="0" relativeHeight="9" behindDoc="0" locked="0" layoutInCell="1" allowOverlap="1">
            <wp:simplePos x="0" y="0"/>
            <wp:positionH relativeFrom="page">
              <wp:posOffset>2773587</wp:posOffset>
            </wp:positionH>
            <wp:positionV relativeFrom="paragraph">
              <wp:posOffset>148220</wp:posOffset>
            </wp:positionV>
            <wp:extent cx="3467815" cy="56464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0" cstate="print"/>
                    <a:stretch>
                      <a:fillRect/>
                    </a:stretch>
                  </pic:blipFill>
                  <pic:spPr>
                    <a:xfrm>
                      <a:off x="0" y="0"/>
                      <a:ext cx="3467815" cy="564641"/>
                    </a:xfrm>
                    <a:prstGeom prst="rect">
                      <a:avLst/>
                    </a:prstGeom>
                  </pic:spPr>
                </pic:pic>
              </a:graphicData>
            </a:graphic>
          </wp:anchor>
        </w:drawing>
      </w:r>
      <w:r>
        <w:rPr>
          <w:noProof/>
          <w:lang w:bidi="ar-SA"/>
        </w:rPr>
        <w:drawing>
          <wp:anchor distT="0" distB="0" distL="0" distR="0" simplePos="0" relativeHeight="10" behindDoc="0" locked="0" layoutInCell="1" allowOverlap="1">
            <wp:simplePos x="0" y="0"/>
            <wp:positionH relativeFrom="page">
              <wp:posOffset>2766338</wp:posOffset>
            </wp:positionH>
            <wp:positionV relativeFrom="paragraph">
              <wp:posOffset>883849</wp:posOffset>
            </wp:positionV>
            <wp:extent cx="3514872" cy="640651"/>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1" cstate="print"/>
                    <a:stretch>
                      <a:fillRect/>
                    </a:stretch>
                  </pic:blipFill>
                  <pic:spPr>
                    <a:xfrm>
                      <a:off x="0" y="0"/>
                      <a:ext cx="3514872" cy="640651"/>
                    </a:xfrm>
                    <a:prstGeom prst="rect">
                      <a:avLst/>
                    </a:prstGeom>
                  </pic:spPr>
                </pic:pic>
              </a:graphicData>
            </a:graphic>
          </wp:anchor>
        </w:drawing>
      </w:r>
    </w:p>
    <w:p w:rsidR="00F13C1D" w:rsidRDefault="00F13C1D">
      <w:pPr>
        <w:pStyle w:val="BodyText"/>
        <w:spacing w:before="1"/>
        <w:rPr>
          <w:sz w:val="17"/>
        </w:rPr>
      </w:pPr>
    </w:p>
    <w:p w:rsidR="00F13C1D" w:rsidRDefault="00F13C1D">
      <w:pPr>
        <w:pStyle w:val="BodyText"/>
        <w:rPr>
          <w:sz w:val="18"/>
        </w:rPr>
      </w:pPr>
    </w:p>
    <w:p w:rsidR="00F13C1D" w:rsidRDefault="00F13C1D">
      <w:pPr>
        <w:pStyle w:val="BodyText"/>
        <w:spacing w:before="3"/>
        <w:rPr>
          <w:sz w:val="22"/>
        </w:rPr>
      </w:pPr>
    </w:p>
    <w:p w:rsidR="00F13C1D" w:rsidRDefault="00760D48">
      <w:pPr>
        <w:pStyle w:val="BodyText"/>
        <w:ind w:left="3013"/>
      </w:pPr>
      <w:r>
        <w:rPr>
          <w:noProof/>
          <w:lang w:bidi="ar-SA"/>
        </w:rPr>
        <w:drawing>
          <wp:anchor distT="0" distB="0" distL="0" distR="0" simplePos="0" relativeHeight="11" behindDoc="0" locked="0" layoutInCell="1" allowOverlap="1">
            <wp:simplePos x="0" y="0"/>
            <wp:positionH relativeFrom="page">
              <wp:posOffset>2353185</wp:posOffset>
            </wp:positionH>
            <wp:positionV relativeFrom="paragraph">
              <wp:posOffset>138829</wp:posOffset>
            </wp:positionV>
            <wp:extent cx="3945635" cy="99536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2" cstate="print"/>
                    <a:stretch>
                      <a:fillRect/>
                    </a:stretch>
                  </pic:blipFill>
                  <pic:spPr>
                    <a:xfrm>
                      <a:off x="0" y="0"/>
                      <a:ext cx="3945635" cy="995362"/>
                    </a:xfrm>
                    <a:prstGeom prst="rect">
                      <a:avLst/>
                    </a:prstGeom>
                  </pic:spPr>
                </pic:pic>
              </a:graphicData>
            </a:graphic>
          </wp:anchor>
        </w:drawing>
      </w:r>
      <w:r>
        <w:rPr>
          <w:color w:val="0E0E0E"/>
        </w:rPr>
        <w:t xml:space="preserve">Generally, </w:t>
      </w:r>
      <w:r>
        <w:rPr>
          <w:color w:val="232323"/>
        </w:rPr>
        <w:t xml:space="preserve">cardiac </w:t>
      </w:r>
      <w:r>
        <w:rPr>
          <w:color w:val="131313"/>
        </w:rPr>
        <w:t xml:space="preserve">surgeons </w:t>
      </w:r>
      <w:r>
        <w:rPr>
          <w:color w:val="0F0F0F"/>
        </w:rPr>
        <w:t xml:space="preserve">prefer </w:t>
      </w:r>
      <w:r>
        <w:rPr>
          <w:color w:val="0C0C0C"/>
        </w:rPr>
        <w:t xml:space="preserve">arterial </w:t>
      </w:r>
      <w:r>
        <w:rPr>
          <w:color w:val="232323"/>
        </w:rPr>
        <w:t xml:space="preserve">grafts </w:t>
      </w:r>
      <w:r>
        <w:rPr>
          <w:color w:val="262626"/>
        </w:rPr>
        <w:t xml:space="preserve">over </w:t>
      </w:r>
      <w:r>
        <w:rPr>
          <w:color w:val="0A0A0A"/>
        </w:rPr>
        <w:t xml:space="preserve">venous </w:t>
      </w:r>
      <w:r>
        <w:rPr>
          <w:color w:val="232323"/>
        </w:rPr>
        <w:t xml:space="preserve">in </w:t>
      </w:r>
      <w:r>
        <w:rPr>
          <w:color w:val="212121"/>
        </w:rPr>
        <w:t xml:space="preserve">CABG </w:t>
      </w:r>
      <w:r>
        <w:rPr>
          <w:color w:val="111111"/>
        </w:rPr>
        <w:t xml:space="preserve">procedures </w:t>
      </w:r>
      <w:r>
        <w:rPr>
          <w:color w:val="232323"/>
        </w:rPr>
        <w:t xml:space="preserve">aS </w:t>
      </w:r>
      <w:r>
        <w:rPr>
          <w:color w:val="0C0C0C"/>
        </w:rPr>
        <w:t>arterial</w:t>
      </w:r>
    </w:p>
    <w:p w:rsidR="00F13C1D" w:rsidRDefault="00F13C1D">
      <w:pPr>
        <w:sectPr w:rsidR="00F13C1D">
          <w:pgSz w:w="12240" w:h="15840"/>
          <w:pgMar w:top="1500" w:right="1480" w:bottom="280" w:left="1340" w:header="720" w:footer="720" w:gutter="0"/>
          <w:cols w:space="720"/>
        </w:sectPr>
      </w:pPr>
    </w:p>
    <w:p w:rsidR="00F13C1D" w:rsidRDefault="00F13C1D">
      <w:pPr>
        <w:pStyle w:val="BodyText"/>
        <w:rPr>
          <w:sz w:val="20"/>
        </w:rPr>
      </w:pPr>
    </w:p>
    <w:p w:rsidR="00F13C1D" w:rsidRDefault="00F13C1D">
      <w:pPr>
        <w:pStyle w:val="BodyText"/>
        <w:rPr>
          <w:sz w:val="20"/>
        </w:rPr>
      </w:pPr>
    </w:p>
    <w:p w:rsidR="00F13C1D" w:rsidRDefault="00F13C1D">
      <w:pPr>
        <w:pStyle w:val="BodyText"/>
        <w:rPr>
          <w:sz w:val="20"/>
        </w:rPr>
      </w:pPr>
    </w:p>
    <w:p w:rsidR="00F13C1D" w:rsidRDefault="00F13C1D">
      <w:pPr>
        <w:pStyle w:val="BodyText"/>
        <w:rPr>
          <w:sz w:val="20"/>
        </w:rPr>
      </w:pPr>
    </w:p>
    <w:p w:rsidR="001D2EC7" w:rsidRDefault="001D2EC7" w:rsidP="001D2EC7">
      <w:pPr>
        <w:sectPr w:rsidR="001D2EC7">
          <w:pgSz w:w="12240" w:h="15840"/>
          <w:pgMar w:top="1440" w:right="1440" w:bottom="875" w:left="1440" w:header="0" w:footer="0" w:gutter="0"/>
          <w:cols w:space="0"/>
          <w:docGrid w:linePitch="360"/>
        </w:sectPr>
      </w:pPr>
      <w:r>
        <w:rPr>
          <w:noProof/>
          <w:lang w:bidi="ar-SA"/>
        </w:rPr>
        <w:drawing>
          <wp:anchor distT="0" distB="0" distL="114300" distR="114300" simplePos="0" relativeHeight="251734016" behindDoc="1" locked="0" layoutInCell="1" allowOverlap="1">
            <wp:simplePos x="0" y="0"/>
            <wp:positionH relativeFrom="page">
              <wp:posOffset>914400</wp:posOffset>
            </wp:positionH>
            <wp:positionV relativeFrom="page">
              <wp:posOffset>914400</wp:posOffset>
            </wp:positionV>
            <wp:extent cx="5943600" cy="7391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39140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35040" behindDoc="1" locked="0" layoutInCell="1" allowOverlap="1">
            <wp:simplePos x="0" y="0"/>
            <wp:positionH relativeFrom="page">
              <wp:posOffset>914400</wp:posOffset>
            </wp:positionH>
            <wp:positionV relativeFrom="page">
              <wp:posOffset>914400</wp:posOffset>
            </wp:positionV>
            <wp:extent cx="5943600" cy="762127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62127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36064" behindDoc="1" locked="0" layoutInCell="1" allowOverlap="1">
            <wp:simplePos x="0" y="0"/>
            <wp:positionH relativeFrom="page">
              <wp:posOffset>914400</wp:posOffset>
            </wp:positionH>
            <wp:positionV relativeFrom="page">
              <wp:posOffset>914400</wp:posOffset>
            </wp:positionV>
            <wp:extent cx="5943600" cy="71215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121525"/>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37088" behindDoc="1" locked="0" layoutInCell="1" allowOverlap="1">
            <wp:simplePos x="0" y="0"/>
            <wp:positionH relativeFrom="page">
              <wp:posOffset>914400</wp:posOffset>
            </wp:positionH>
            <wp:positionV relativeFrom="page">
              <wp:posOffset>914400</wp:posOffset>
            </wp:positionV>
            <wp:extent cx="5943600" cy="75133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51332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38112" behindDoc="1" locked="0" layoutInCell="1" allowOverlap="1">
            <wp:simplePos x="0" y="0"/>
            <wp:positionH relativeFrom="page">
              <wp:posOffset>914400</wp:posOffset>
            </wp:positionH>
            <wp:positionV relativeFrom="page">
              <wp:posOffset>914400</wp:posOffset>
            </wp:positionV>
            <wp:extent cx="5943600" cy="716724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167245"/>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39136" behindDoc="1" locked="0" layoutInCell="1" allowOverlap="1">
            <wp:simplePos x="0" y="0"/>
            <wp:positionH relativeFrom="page">
              <wp:posOffset>914400</wp:posOffset>
            </wp:positionH>
            <wp:positionV relativeFrom="page">
              <wp:posOffset>914400</wp:posOffset>
            </wp:positionV>
            <wp:extent cx="5943600" cy="756221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562215"/>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40160" behindDoc="1" locked="0" layoutInCell="1" allowOverlap="1">
            <wp:simplePos x="0" y="0"/>
            <wp:positionH relativeFrom="page">
              <wp:posOffset>914400</wp:posOffset>
            </wp:positionH>
            <wp:positionV relativeFrom="page">
              <wp:posOffset>914400</wp:posOffset>
            </wp:positionV>
            <wp:extent cx="5943600" cy="754062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540625"/>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pacing w:before="1" w:line="508" w:lineRule="auto"/>
        <w:ind w:left="3"/>
        <w:jc w:val="center"/>
        <w:rPr>
          <w:rFonts w:ascii="Courier New"/>
          <w:sz w:val="27"/>
        </w:rPr>
      </w:pPr>
      <w:r>
        <w:rPr>
          <w:noProof/>
          <w:lang w:bidi="ar-SA"/>
        </w:rPr>
        <w:lastRenderedPageBreak/>
        <w:drawing>
          <wp:anchor distT="0" distB="0" distL="114300" distR="114300" simplePos="0" relativeHeight="251741184" behindDoc="1" locked="0" layoutInCell="1" allowOverlap="1">
            <wp:simplePos x="0" y="0"/>
            <wp:positionH relativeFrom="page">
              <wp:posOffset>914400</wp:posOffset>
            </wp:positionH>
            <wp:positionV relativeFrom="page">
              <wp:posOffset>914400</wp:posOffset>
            </wp:positionV>
            <wp:extent cx="5943600" cy="763968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639685"/>
                    </a:xfrm>
                    <a:prstGeom prst="rect">
                      <a:avLst/>
                    </a:prstGeom>
                    <a:noFill/>
                  </pic:spPr>
                </pic:pic>
              </a:graphicData>
            </a:graphic>
            <wp14:sizeRelH relativeFrom="page">
              <wp14:pctWidth>0</wp14:pctWidth>
            </wp14:sizeRelH>
            <wp14:sizeRelV relativeFrom="page">
              <wp14:pctHeight>0</wp14:pctHeight>
            </wp14:sizeRelV>
          </wp:anchor>
        </w:drawing>
      </w: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F13C1D" w:rsidRDefault="00F13C1D" w:rsidP="001D2EC7">
      <w:pPr>
        <w:jc w:val="right"/>
        <w:rPr>
          <w:rFonts w:ascii="Courier New"/>
          <w:sz w:val="27"/>
        </w:rPr>
      </w:pPr>
    </w:p>
    <w:p w:rsidR="001D2EC7" w:rsidRDefault="001D2EC7" w:rsidP="001D2EC7">
      <w:pPr>
        <w:sectPr w:rsidR="001D2EC7">
          <w:pgSz w:w="12240" w:h="15840"/>
          <w:pgMar w:top="1440" w:right="1440" w:bottom="875" w:left="1440" w:header="0" w:footer="0" w:gutter="0"/>
          <w:cols w:space="0"/>
          <w:docGrid w:linePitch="360"/>
        </w:sectPr>
      </w:pPr>
      <w:r>
        <w:rPr>
          <w:noProof/>
          <w:lang w:bidi="ar-SA"/>
        </w:rPr>
        <w:drawing>
          <wp:anchor distT="0" distB="0" distL="114300" distR="114300" simplePos="0" relativeHeight="251743232" behindDoc="1" locked="0" layoutInCell="1" allowOverlap="1">
            <wp:simplePos x="0" y="0"/>
            <wp:positionH relativeFrom="page">
              <wp:posOffset>914400</wp:posOffset>
            </wp:positionH>
            <wp:positionV relativeFrom="page">
              <wp:posOffset>914400</wp:posOffset>
            </wp:positionV>
            <wp:extent cx="5318760" cy="82296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18760" cy="822960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44256" behindDoc="1" locked="0" layoutInCell="1" allowOverlap="1">
            <wp:simplePos x="0" y="0"/>
            <wp:positionH relativeFrom="page">
              <wp:posOffset>914400</wp:posOffset>
            </wp:positionH>
            <wp:positionV relativeFrom="page">
              <wp:posOffset>914400</wp:posOffset>
            </wp:positionV>
            <wp:extent cx="5943600" cy="46482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464820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45280" behindDoc="1" locked="0" layoutInCell="1" allowOverlap="1">
            <wp:simplePos x="0" y="0"/>
            <wp:positionH relativeFrom="page">
              <wp:posOffset>914400</wp:posOffset>
            </wp:positionH>
            <wp:positionV relativeFrom="page">
              <wp:posOffset>914400</wp:posOffset>
            </wp:positionV>
            <wp:extent cx="5475605" cy="82296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75605" cy="822960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46304" behindDoc="1" locked="0" layoutInCell="1" allowOverlap="1">
            <wp:simplePos x="0" y="0"/>
            <wp:positionH relativeFrom="page">
              <wp:posOffset>914400</wp:posOffset>
            </wp:positionH>
            <wp:positionV relativeFrom="page">
              <wp:posOffset>914400</wp:posOffset>
            </wp:positionV>
            <wp:extent cx="5554980" cy="82296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54980" cy="822960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jc w:val="right"/>
        <w:rPr>
          <w:rFonts w:ascii="Courier New"/>
          <w:sz w:val="27"/>
        </w:rPr>
      </w:pPr>
      <w:r>
        <w:rPr>
          <w:noProof/>
          <w:lang w:bidi="ar-SA"/>
        </w:rPr>
        <w:lastRenderedPageBreak/>
        <w:drawing>
          <wp:anchor distT="0" distB="0" distL="114300" distR="114300" simplePos="0" relativeHeight="251747328" behindDoc="1" locked="0" layoutInCell="1" allowOverlap="1">
            <wp:simplePos x="0" y="0"/>
            <wp:positionH relativeFrom="page">
              <wp:posOffset>914400</wp:posOffset>
            </wp:positionH>
            <wp:positionV relativeFrom="page">
              <wp:posOffset>914400</wp:posOffset>
            </wp:positionV>
            <wp:extent cx="5125085" cy="82296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25085" cy="8229600"/>
                    </a:xfrm>
                    <a:prstGeom prst="rect">
                      <a:avLst/>
                    </a:prstGeom>
                    <a:noFill/>
                  </pic:spPr>
                </pic:pic>
              </a:graphicData>
            </a:graphic>
            <wp14:sizeRelH relativeFrom="page">
              <wp14:pctWidth>0</wp14:pctWidth>
            </wp14:sizeRelH>
            <wp14:sizeRelV relativeFrom="page">
              <wp14:pctHeight>0</wp14:pctHeight>
            </wp14:sizeRelV>
          </wp:anchor>
        </w:drawing>
      </w: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Default="001D2EC7" w:rsidP="001D2EC7">
      <w:pPr>
        <w:rPr>
          <w:rFonts w:ascii="Courier New"/>
          <w:sz w:val="27"/>
        </w:rPr>
      </w:pPr>
    </w:p>
    <w:p w:rsidR="001D2EC7" w:rsidRDefault="001D2EC7" w:rsidP="001D2EC7">
      <w:pPr>
        <w:tabs>
          <w:tab w:val="left" w:pos="9930"/>
        </w:tabs>
        <w:rPr>
          <w:rFonts w:ascii="Courier New"/>
          <w:sz w:val="27"/>
        </w:rPr>
      </w:pPr>
      <w:r>
        <w:rPr>
          <w:rFonts w:ascii="Courier New"/>
          <w:sz w:val="27"/>
        </w:rPr>
        <w:tab/>
      </w:r>
    </w:p>
    <w:p w:rsidR="001D2EC7" w:rsidRDefault="001D2EC7" w:rsidP="001D2EC7">
      <w:pPr>
        <w:sectPr w:rsidR="001D2EC7">
          <w:pgSz w:w="12240" w:h="15840"/>
          <w:pgMar w:top="1440" w:right="1440" w:bottom="875" w:left="1440" w:header="0" w:footer="0" w:gutter="0"/>
          <w:cols w:space="0"/>
          <w:docGrid w:linePitch="360"/>
        </w:sectPr>
      </w:pPr>
      <w:r>
        <w:rPr>
          <w:noProof/>
          <w:lang w:bidi="ar-SA"/>
        </w:rPr>
        <w:drawing>
          <wp:anchor distT="0" distB="0" distL="114300" distR="114300" simplePos="0" relativeHeight="251749376" behindDoc="1" locked="0" layoutInCell="1" allowOverlap="1">
            <wp:simplePos x="0" y="0"/>
            <wp:positionH relativeFrom="page">
              <wp:posOffset>914400</wp:posOffset>
            </wp:positionH>
            <wp:positionV relativeFrom="page">
              <wp:posOffset>914400</wp:posOffset>
            </wp:positionV>
            <wp:extent cx="5256530" cy="82296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6530" cy="822960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50400" behindDoc="1" locked="0" layoutInCell="1" allowOverlap="1">
            <wp:simplePos x="0" y="0"/>
            <wp:positionH relativeFrom="page">
              <wp:posOffset>914400</wp:posOffset>
            </wp:positionH>
            <wp:positionV relativeFrom="page">
              <wp:posOffset>914400</wp:posOffset>
            </wp:positionV>
            <wp:extent cx="5943600" cy="79400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94004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51424" behindDoc="1" locked="0" layoutInCell="1" allowOverlap="1">
            <wp:simplePos x="0" y="0"/>
            <wp:positionH relativeFrom="page">
              <wp:posOffset>914400</wp:posOffset>
            </wp:positionH>
            <wp:positionV relativeFrom="page">
              <wp:posOffset>914400</wp:posOffset>
            </wp:positionV>
            <wp:extent cx="5838190" cy="82296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38190" cy="822960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52448" behindDoc="1" locked="0" layoutInCell="1" allowOverlap="1">
            <wp:simplePos x="0" y="0"/>
            <wp:positionH relativeFrom="page">
              <wp:posOffset>914400</wp:posOffset>
            </wp:positionH>
            <wp:positionV relativeFrom="page">
              <wp:posOffset>914400</wp:posOffset>
            </wp:positionV>
            <wp:extent cx="5943600" cy="792607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sectPr w:rsidR="001D2EC7">
          <w:pgSz w:w="12240" w:h="15840"/>
          <w:pgMar w:top="1440" w:right="1440" w:bottom="875" w:left="1440" w:header="0" w:footer="0" w:gutter="0"/>
          <w:cols w:space="0"/>
          <w:docGrid w:linePitch="360"/>
        </w:sectPr>
      </w:pPr>
      <w:r>
        <w:rPr>
          <w:noProof/>
          <w:lang w:bidi="ar-SA"/>
        </w:rPr>
        <w:lastRenderedPageBreak/>
        <w:drawing>
          <wp:anchor distT="0" distB="0" distL="114300" distR="114300" simplePos="0" relativeHeight="251753472" behindDoc="1" locked="0" layoutInCell="1" allowOverlap="1">
            <wp:simplePos x="0" y="0"/>
            <wp:positionH relativeFrom="page">
              <wp:posOffset>914400</wp:posOffset>
            </wp:positionH>
            <wp:positionV relativeFrom="page">
              <wp:posOffset>914400</wp:posOffset>
            </wp:positionV>
            <wp:extent cx="5173980" cy="82296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73980" cy="8229600"/>
                    </a:xfrm>
                    <a:prstGeom prst="rect">
                      <a:avLst/>
                    </a:prstGeom>
                    <a:noFill/>
                  </pic:spPr>
                </pic:pic>
              </a:graphicData>
            </a:graphic>
            <wp14:sizeRelH relativeFrom="page">
              <wp14:pctWidth>0</wp14:pctWidth>
            </wp14:sizeRelH>
            <wp14:sizeRelV relativeFrom="page">
              <wp14:pctHeight>0</wp14:pctHeight>
            </wp14:sizeRelV>
          </wp:anchor>
        </w:drawing>
      </w:r>
    </w:p>
    <w:p w:rsidR="001D2EC7" w:rsidRDefault="001D2EC7" w:rsidP="001D2EC7">
      <w:pPr>
        <w:tabs>
          <w:tab w:val="left" w:pos="9930"/>
        </w:tabs>
        <w:rPr>
          <w:rFonts w:ascii="Courier New"/>
          <w:sz w:val="27"/>
        </w:rPr>
      </w:pPr>
      <w:r>
        <w:rPr>
          <w:noProof/>
          <w:lang w:bidi="ar-SA"/>
        </w:rPr>
        <w:lastRenderedPageBreak/>
        <w:drawing>
          <wp:anchor distT="0" distB="0" distL="114300" distR="114300" simplePos="0" relativeHeight="251754496" behindDoc="1" locked="0" layoutInCell="1" allowOverlap="1">
            <wp:simplePos x="0" y="0"/>
            <wp:positionH relativeFrom="page">
              <wp:posOffset>914400</wp:posOffset>
            </wp:positionH>
            <wp:positionV relativeFrom="page">
              <wp:posOffset>914400</wp:posOffset>
            </wp:positionV>
            <wp:extent cx="5943600" cy="82232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8223250"/>
                    </a:xfrm>
                    <a:prstGeom prst="rect">
                      <a:avLst/>
                    </a:prstGeom>
                    <a:noFill/>
                  </pic:spPr>
                </pic:pic>
              </a:graphicData>
            </a:graphic>
            <wp14:sizeRelH relativeFrom="page">
              <wp14:pctWidth>0</wp14:pctWidth>
            </wp14:sizeRelH>
            <wp14:sizeRelV relativeFrom="page">
              <wp14:pctHeight>0</wp14:pctHeight>
            </wp14:sizeRelV>
          </wp:anchor>
        </w:drawing>
      </w: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Pr="001D2EC7" w:rsidRDefault="001D2EC7" w:rsidP="001D2EC7">
      <w:pPr>
        <w:rPr>
          <w:rFonts w:ascii="Courier New"/>
          <w:sz w:val="27"/>
        </w:rPr>
      </w:pPr>
    </w:p>
    <w:p w:rsidR="001D2EC7" w:rsidRDefault="001D2EC7" w:rsidP="001D2EC7">
      <w:pPr>
        <w:jc w:val="right"/>
        <w:rPr>
          <w:rFonts w:ascii="Courier New"/>
          <w:sz w:val="27"/>
        </w:rPr>
      </w:pPr>
    </w:p>
    <w:p w:rsidR="001D2EC7" w:rsidRPr="001D2EC7" w:rsidRDefault="001D2EC7" w:rsidP="001D2EC7">
      <w:pPr>
        <w:jc w:val="right"/>
        <w:rPr>
          <w:rFonts w:ascii="Courier New"/>
          <w:sz w:val="27"/>
        </w:rPr>
      </w:pPr>
      <w:bookmarkStart w:id="10" w:name="_GoBack"/>
      <w:bookmarkEnd w:id="10"/>
    </w:p>
    <w:sectPr w:rsidR="001D2EC7" w:rsidRPr="001D2EC7">
      <w:pgSz w:w="12000" w:h="8000" w:orient="landscape"/>
      <w:pgMar w:top="720" w:right="380" w:bottom="28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00000287" w:usb1="00000000" w:usb2="00000000" w:usb3="00000000" w:csb0="0000009F" w:csb1="00000000"/>
  </w:font>
  <w:font w:name="Consolas">
    <w:altName w:val="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6E87CCC"/>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3D1B58BA"/>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507ED7AA"/>
    <w:lvl w:ilvl="0" w:tplc="FFFFFFFF">
      <w:start w:val="1"/>
      <w:numFmt w:val="bullet"/>
      <w:lvlText w:val="b"/>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2EB141F2"/>
    <w:lvl w:ilvl="0" w:tplc="FFFFFFFF">
      <w:start w:val="3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9E2A9E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7545E146"/>
    <w:lvl w:ilvl="0" w:tplc="FFFFFFFF">
      <w:start w:val="2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F13C1D"/>
    <w:rsid w:val="001C2361"/>
    <w:rsid w:val="001D2EC7"/>
    <w:rsid w:val="00760D48"/>
    <w:rsid w:val="00F13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5:docId w15:val="{F2831648-3260-4A02-A949-8DA993D4E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bidi="en-US"/>
    </w:rPr>
  </w:style>
  <w:style w:type="paragraph" w:styleId="Heading1">
    <w:name w:val="heading 1"/>
    <w:basedOn w:val="Normal"/>
    <w:uiPriority w:val="1"/>
    <w:qFormat/>
    <w:pPr>
      <w:ind w:left="3027"/>
      <w:outlineLvl w:val="0"/>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4"/>
      <w:szCs w:val="1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44609534_Prognostic_significance_of_serum_potassium_level_for_major_adverse_cardiac_events_and_death_in_patients_with_coronary_atherosclerotic_disease?enrichId=rgreq-890fcfc9bd8d7ab10969660873ee47f6-XXX&amp;enrichSource=Y292ZXJQYWdlOzM0NDYwOTUzNDtBUzo5NDU3NjYzMjc2NzI4MzVAMTYwMjQ5OTY3Mjg0MQ%3D%3D&amp;el=1_x_3&amp;_esc=publicationCoverPdf" TargetMode="External"/><Relationship Id="rId21" Type="http://schemas.openxmlformats.org/officeDocument/2006/relationships/hyperlink" Target="https://dx.doi.org/10.1161/01.CIR.91.9.2325" TargetMode="External"/><Relationship Id="rId42" Type="http://schemas.openxmlformats.org/officeDocument/2006/relationships/hyperlink" Target="https://dx.doi.org/10.1056/NEJMoa1610227" TargetMode="External"/><Relationship Id="rId63" Type="http://schemas.openxmlformats.org/officeDocument/2006/relationships/hyperlink" Target="https://dx.doi.org/10.1016/S0140-6736(94)91963-1" TargetMode="External"/><Relationship Id="rId84" Type="http://schemas.openxmlformats.org/officeDocument/2006/relationships/hyperlink" Target="https://dx.doi.org/10.1056/NEJMoa0804626" TargetMode="External"/><Relationship Id="rId138" Type="http://schemas.openxmlformats.org/officeDocument/2006/relationships/hyperlink" Target="https://www.researchgate.net/project/Hyperhomocystenemia-association-with-coronary-artery-disease-in-absence-of-conventional-risk-factors-among-young-adults?enrichId=rgreq-890fcfc9bd8d7ab10969660873ee47f6-XXX&amp;enrichSource=Y292ZXJQYWdlOzM0NDYwOTUzNDtBUzo5NDU3NjYzMjc2NzI4MzVAMTYwMjQ5OTY3Mjg0MQ%3D%3D&amp;el=1_x_9&amp;_esc=publicationCoverPdf" TargetMode="External"/><Relationship Id="rId159" Type="http://schemas.openxmlformats.org/officeDocument/2006/relationships/hyperlink" Target="https://www.ncbi.nlm.nih.gov/pubmed/24557713" TargetMode="External"/><Relationship Id="rId170" Type="http://schemas.openxmlformats.org/officeDocument/2006/relationships/hyperlink" Target="https://www.ncbi.nlm.nih.gov/pubmed/22923432" TargetMode="External"/><Relationship Id="rId191" Type="http://schemas.openxmlformats.org/officeDocument/2006/relationships/hyperlink" Target="http://dx.doi.org/10.1001/jama.2011.1967" TargetMode="External"/><Relationship Id="rId205" Type="http://schemas.openxmlformats.org/officeDocument/2006/relationships/image" Target="media/image30.jpeg"/><Relationship Id="rId226" Type="http://schemas.openxmlformats.org/officeDocument/2006/relationships/image" Target="media/image51.jpeg"/><Relationship Id="rId107" Type="http://schemas.openxmlformats.org/officeDocument/2006/relationships/hyperlink" Target="https://dx.doi.org/10.1016/j.jacc.2009.01.035" TargetMode="External"/><Relationship Id="rId11" Type="http://schemas.openxmlformats.org/officeDocument/2006/relationships/hyperlink" Target="https://www.cureus.com/users/57271-hammad-shah" TargetMode="External"/><Relationship Id="rId32" Type="http://schemas.openxmlformats.org/officeDocument/2006/relationships/hyperlink" Target="https://dx.doi.org/10.1016/j.jacc.2014.07.017" TargetMode="External"/><Relationship Id="rId53" Type="http://schemas.openxmlformats.org/officeDocument/2006/relationships/hyperlink" Target="https://dx.doi.org/10.4244/EIJV12I7A141" TargetMode="External"/><Relationship Id="rId74" Type="http://schemas.openxmlformats.org/officeDocument/2006/relationships/hyperlink" Target="https://dx.doi.org/10.1161/CIRCULATIONAHA.105.595694" TargetMode="External"/><Relationship Id="rId128" Type="http://schemas.openxmlformats.org/officeDocument/2006/relationships/hyperlink" Target="https://www.researchgate.net/profile/Momin-Khan-7?enrichId=rgreq-890fcfc9bd8d7ab10969660873ee47f6-XXX&amp;enrichSource=Y292ZXJQYWdlOzM0NDYwOTUzNDtBUzo5NDU3NjYzMjc2NzI4MzVAMTYwMjQ5OTY3Mjg0MQ%3D%3D&amp;el=1_x_5&amp;_esc=publicationCoverPdf" TargetMode="External"/><Relationship Id="rId149" Type="http://schemas.openxmlformats.org/officeDocument/2006/relationships/hyperlink" Target="http://dx.doi.org/10.1111/j.1524-6175.2002.01728.x" TargetMode="External"/><Relationship Id="rId5" Type="http://schemas.openxmlformats.org/officeDocument/2006/relationships/image" Target="media/image1.jpeg"/><Relationship Id="rId95" Type="http://schemas.openxmlformats.org/officeDocument/2006/relationships/hyperlink" Target="https://dx.doi.org/10.1016/j.jcin.2013.08.013" TargetMode="External"/><Relationship Id="rId160" Type="http://schemas.openxmlformats.org/officeDocument/2006/relationships/hyperlink" Target="http://dx.doi.org/10.1152/ajpregu.1995.268.4.R825" TargetMode="External"/><Relationship Id="rId181" Type="http://schemas.openxmlformats.org/officeDocument/2006/relationships/hyperlink" Target="http://dx.doi.org/10.1016/j.amjcard.2017.11.025" TargetMode="External"/><Relationship Id="rId216" Type="http://schemas.openxmlformats.org/officeDocument/2006/relationships/image" Target="media/image41.jpeg"/><Relationship Id="rId22" Type="http://schemas.openxmlformats.org/officeDocument/2006/relationships/hyperlink" Target="https://dx.doi.org/10.1161/01.CIR.91.9.2325" TargetMode="External"/><Relationship Id="rId27" Type="http://schemas.openxmlformats.org/officeDocument/2006/relationships/hyperlink" Target="https://dx.doi.org/10.1016/S0967-2109(03)00111-X" TargetMode="External"/><Relationship Id="rId43" Type="http://schemas.openxmlformats.org/officeDocument/2006/relationships/hyperlink" Target="https://dx.doi.org/10.1016/j.jacc.2016.06.024" TargetMode="External"/><Relationship Id="rId48" Type="http://schemas.openxmlformats.org/officeDocument/2006/relationships/hyperlink" Target="https://dx.doi.org/10.1161/CIRCULATIONAHA.113.006689" TargetMode="External"/><Relationship Id="rId64" Type="http://schemas.openxmlformats.org/officeDocument/2006/relationships/hyperlink" Target="https://dx.doi.org/10.1016/S0735-1097(00)00588-X" TargetMode="External"/><Relationship Id="rId69" Type="http://schemas.openxmlformats.org/officeDocument/2006/relationships/hyperlink" Target="https://dx.doi.org/10.1016/j.ahj.2007.10.009" TargetMode="External"/><Relationship Id="rId113" Type="http://schemas.openxmlformats.org/officeDocument/2006/relationships/hyperlink" Target="https://dx.doi.org/10.1161/CIRCINTERVENTIONS.108.799494" TargetMode="External"/><Relationship Id="rId118" Type="http://schemas.openxmlformats.org/officeDocument/2006/relationships/image" Target="media/image11.png"/><Relationship Id="rId134" Type="http://schemas.openxmlformats.org/officeDocument/2006/relationships/hyperlink" Target="https://www.researchgate.net/profile/Momin-Khan-7?enrichId=rgreq-890fcfc9bd8d7ab10969660873ee47f6-XXX&amp;enrichSource=Y292ZXJQYWdlOzM0NDYwOTUzNDtBUzo5NDU3NjYzMjc2NzI4MzVAMTYwMjQ5OTY3Mjg0MQ%3D%3D&amp;el=1_x_7&amp;_esc=publicationCoverPdf" TargetMode="External"/><Relationship Id="rId139" Type="http://schemas.openxmlformats.org/officeDocument/2006/relationships/hyperlink" Target="https://www.researchgate.net/profile/Afrasyab-Altaf-2?enrichId=rgreq-890fcfc9bd8d7ab10969660873ee47f6-XXX&amp;enrichSource=Y292ZXJQYWdlOzM0NDYwOTUzNDtBUzo5NDU3NjYzMjc2NzI4MzVAMTYwMjQ5OTY3Mjg0MQ%3D%3D&amp;el=1_x_10&amp;_esc=publicationCoverPdf" TargetMode="External"/><Relationship Id="rId80" Type="http://schemas.openxmlformats.org/officeDocument/2006/relationships/hyperlink" Target="https://dx.doi.org/10.1056/NEJMoa0801441" TargetMode="External"/><Relationship Id="rId85" Type="http://schemas.openxmlformats.org/officeDocument/2006/relationships/hyperlink" Target="https://dx.doi.org/10.1056/NEJMoa0804626" TargetMode="External"/><Relationship Id="rId150" Type="http://schemas.openxmlformats.org/officeDocument/2006/relationships/hyperlink" Target="https://www.ncbi.nlm.nih.gov/pubmed/12045369" TargetMode="External"/><Relationship Id="rId155" Type="http://schemas.openxmlformats.org/officeDocument/2006/relationships/hyperlink" Target="http://dx.doi.org/10.1152/ajpregu.00491.2005" TargetMode="External"/><Relationship Id="rId171" Type="http://schemas.openxmlformats.org/officeDocument/2006/relationships/hyperlink" Target="http://dx.doi.org/10.1093/eurheartj/ehw272" TargetMode="External"/><Relationship Id="rId176" Type="http://schemas.openxmlformats.org/officeDocument/2006/relationships/hyperlink" Target="http://dx.doi.org/10.1016/j.jacc.2011.02.032" TargetMode="External"/><Relationship Id="rId192" Type="http://schemas.openxmlformats.org/officeDocument/2006/relationships/hyperlink" Target="https://www.ncbi.nlm.nih.gov/pubmed/22235086" TargetMode="External"/><Relationship Id="rId197" Type="http://schemas.openxmlformats.org/officeDocument/2006/relationships/hyperlink" Target="http://dx.doi.org/10.1007/s00380-015-0685-x" TargetMode="External"/><Relationship Id="rId206" Type="http://schemas.openxmlformats.org/officeDocument/2006/relationships/image" Target="media/image31.jpeg"/><Relationship Id="rId227" Type="http://schemas.openxmlformats.org/officeDocument/2006/relationships/image" Target="media/image52.jpeg"/><Relationship Id="rId201" Type="http://schemas.openxmlformats.org/officeDocument/2006/relationships/image" Target="media/image27.jpeg"/><Relationship Id="rId222" Type="http://schemas.openxmlformats.org/officeDocument/2006/relationships/image" Target="media/image47.jpe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dx.doi.org/10.1016/j.jacc.2014.07.017" TargetMode="External"/><Relationship Id="rId38" Type="http://schemas.openxmlformats.org/officeDocument/2006/relationships/hyperlink" Target="https://dx.doi.org/10.1093/eurheartj/ehu278" TargetMode="External"/><Relationship Id="rId59" Type="http://schemas.openxmlformats.org/officeDocument/2006/relationships/hyperlink" Target="https://dx.doi.org/10.15420/icr.2015.10.03.132" TargetMode="External"/><Relationship Id="rId103" Type="http://schemas.openxmlformats.org/officeDocument/2006/relationships/hyperlink" Target="https://dx.doi.org/10.1016/j.jcin.2010.03.019" TargetMode="External"/><Relationship Id="rId108" Type="http://schemas.openxmlformats.org/officeDocument/2006/relationships/hyperlink" Target="https://dx.doi.org/10.1016/j.jacc.2013.07.044" TargetMode="External"/><Relationship Id="rId124" Type="http://schemas.openxmlformats.org/officeDocument/2006/relationships/hyperlink" Target="https://www.researchgate.net/institution/Rehman-Medical-Institute?enrichId=rgreq-890fcfc9bd8d7ab10969660873ee47f6-XXX&amp;enrichSource=Y292ZXJQYWdlOzM0NDYwOTUzNDtBUzo5NDU3NjYzMjc2NzI4MzVAMTYwMjQ5OTY3Mjg0MQ%3D%3D&amp;el=1_x_6&amp;_esc=publicationCoverPdf" TargetMode="External"/><Relationship Id="rId129" Type="http://schemas.openxmlformats.org/officeDocument/2006/relationships/hyperlink" Target="https://www.researchgate.net/profile/Hammad-Shah-3?enrichId=rgreq-890fcfc9bd8d7ab10969660873ee47f6-XXX&amp;enrichSource=Y292ZXJQYWdlOzM0NDYwOTUzNDtBUzo5NDU3NjYzMjc2NzI4MzVAMTYwMjQ5OTY3Mjg0MQ%3D%3D&amp;el=1_x_5&amp;_esc=publicationCoverPdf" TargetMode="External"/><Relationship Id="rId54" Type="http://schemas.openxmlformats.org/officeDocument/2006/relationships/hyperlink" Target="https://dx.doi.org/10.4244/EIJV12I7A141" TargetMode="External"/><Relationship Id="rId70" Type="http://schemas.openxmlformats.org/officeDocument/2006/relationships/hyperlink" Target="https://dx.doi.org/10.1016/j.ahj.2007.10.009" TargetMode="External"/><Relationship Id="rId75" Type="http://schemas.openxmlformats.org/officeDocument/2006/relationships/hyperlink" Target="https://dx.doi.org/10.1161/CIRCULATIONAHA.105.595694" TargetMode="External"/><Relationship Id="rId91" Type="http://schemas.openxmlformats.org/officeDocument/2006/relationships/hyperlink" Target="https://dx.doi.org/10.1016/S0140-6736(16)32052-9" TargetMode="External"/><Relationship Id="rId96" Type="http://schemas.openxmlformats.org/officeDocument/2006/relationships/hyperlink" Target="https://dx.doi.org/10.1016/j.jcin.2013.08.005" TargetMode="External"/><Relationship Id="rId140" Type="http://schemas.openxmlformats.org/officeDocument/2006/relationships/image" Target="media/image18.png"/><Relationship Id="rId145" Type="http://schemas.openxmlformats.org/officeDocument/2006/relationships/image" Target="media/image22.png"/><Relationship Id="rId161" Type="http://schemas.openxmlformats.org/officeDocument/2006/relationships/hyperlink" Target="https://www.ncbi.nlm.nih.gov/pubmed/7733391" TargetMode="External"/><Relationship Id="rId166" Type="http://schemas.openxmlformats.org/officeDocument/2006/relationships/hyperlink" Target="http://dx.doi.org/10.1371/journal.pone.0113460" TargetMode="External"/><Relationship Id="rId182" Type="http://schemas.openxmlformats.org/officeDocument/2006/relationships/hyperlink" Target="https://www.ncbi.nlm.nih.gov/pubmed/29325904" TargetMode="External"/><Relationship Id="rId187" Type="http://schemas.openxmlformats.org/officeDocument/2006/relationships/hyperlink" Target="http://dx.doi.org/10.3349/ymj.2014.55.4.912" TargetMode="External"/><Relationship Id="rId217"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hyperlink" Target="https://www.cureus.com/users/56611-mazhar-mahmood" TargetMode="External"/><Relationship Id="rId212" Type="http://schemas.openxmlformats.org/officeDocument/2006/relationships/image" Target="media/image37.jpeg"/><Relationship Id="rId233" Type="http://schemas.openxmlformats.org/officeDocument/2006/relationships/theme" Target="theme/theme1.xml"/><Relationship Id="rId23" Type="http://schemas.openxmlformats.org/officeDocument/2006/relationships/hyperlink" Target="https://dx.doi.org/%2010.1016/j.ejcts.2010.03.003" TargetMode="External"/><Relationship Id="rId28" Type="http://schemas.openxmlformats.org/officeDocument/2006/relationships/hyperlink" Target="https://dx.doi.org/10.1016/S0967-2109(03)00111-X" TargetMode="External"/><Relationship Id="rId49" Type="http://schemas.openxmlformats.org/officeDocument/2006/relationships/hyperlink" Target="https://dx.doi.org/10.1161/CIRCULATIONAHA.113.006689" TargetMode="External"/><Relationship Id="rId114" Type="http://schemas.openxmlformats.org/officeDocument/2006/relationships/image" Target="media/image10.png"/><Relationship Id="rId119" Type="http://schemas.openxmlformats.org/officeDocument/2006/relationships/hyperlink" Target="https://www.researchgate.net/profile/Afrasyab-Altaf-2?enrichId=rgreq-890fcfc9bd8d7ab10969660873ee47f6-XXX&amp;enrichSource=Y292ZXJQYWdlOzM0NDYwOTUzNDtBUzo5NDU3NjYzMjc2NzI4MzVAMTYwMjQ5OTY3Mjg0MQ%3D%3D&amp;el=1_x_5&amp;_esc=publicationCoverPdf" TargetMode="External"/><Relationship Id="rId44" Type="http://schemas.openxmlformats.org/officeDocument/2006/relationships/hyperlink" Target="https://dx.doi.org/10.1016/j.jacc.2016.06.024" TargetMode="External"/><Relationship Id="rId60" Type="http://schemas.openxmlformats.org/officeDocument/2006/relationships/hyperlink" Target="https://ohsu.pure.elsevier.com/en/publications/left-main-coronary-artery-disease-2" TargetMode="External"/><Relationship Id="rId65" Type="http://schemas.openxmlformats.org/officeDocument/2006/relationships/hyperlink" Target="https://dx.doi.org/10.1016/S0735-1097(00)00588-X" TargetMode="External"/><Relationship Id="rId81" Type="http://schemas.openxmlformats.org/officeDocument/2006/relationships/hyperlink" Target="https://dx.doi.org/10.1016/j.jacc.2007.09.054" TargetMode="External"/><Relationship Id="rId86" Type="http://schemas.openxmlformats.org/officeDocument/2006/relationships/hyperlink" Target="https://dx.doi.org/10.1056/NEJMoa0804626" TargetMode="External"/><Relationship Id="rId130" Type="http://schemas.openxmlformats.org/officeDocument/2006/relationships/image" Target="media/image15.jpeg"/><Relationship Id="rId135" Type="http://schemas.openxmlformats.org/officeDocument/2006/relationships/hyperlink" Target="https://www.researchgate.net/profile/Hammad-Shah-3?enrichId=rgreq-890fcfc9bd8d7ab10969660873ee47f6-XXX&amp;enrichSource=Y292ZXJQYWdlOzM0NDYwOTUzNDtBUzo5NDU3NjYzMjc2NzI4MzVAMTYwMjQ5OTY3Mjg0MQ%3D%3D&amp;el=1_x_7&amp;_esc=publicationCoverPdf" TargetMode="External"/><Relationship Id="rId151" Type="http://schemas.openxmlformats.org/officeDocument/2006/relationships/hyperlink" Target="http://dx.doi.org/10.1113/jphysiol.2007.145474" TargetMode="External"/><Relationship Id="rId156" Type="http://schemas.openxmlformats.org/officeDocument/2006/relationships/hyperlink" Target="http://dx.doi.org/10.1152/ajpregu.00491.2005" TargetMode="External"/><Relationship Id="rId177" Type="http://schemas.openxmlformats.org/officeDocument/2006/relationships/hyperlink" Target="https://www.ncbi.nlm.nih.gov/pubmed/21658558" TargetMode="External"/><Relationship Id="rId198" Type="http://schemas.openxmlformats.org/officeDocument/2006/relationships/hyperlink" Target="https://www.ncbi.nlm.nih.gov/pubmed/25904244" TargetMode="External"/><Relationship Id="rId172" Type="http://schemas.openxmlformats.org/officeDocument/2006/relationships/hyperlink" Target="https://www.ncbi.nlm.nih.gov/pubmed/27567407" TargetMode="External"/><Relationship Id="rId193" Type="http://schemas.openxmlformats.org/officeDocument/2006/relationships/hyperlink" Target="https://www.ncbi.nlm.nih.gov/pubmed/19758907" TargetMode="External"/><Relationship Id="rId202" Type="http://schemas.openxmlformats.org/officeDocument/2006/relationships/image" Target="media/image28.jpeg"/><Relationship Id="rId207" Type="http://schemas.openxmlformats.org/officeDocument/2006/relationships/image" Target="media/image32.jpeg"/><Relationship Id="rId223" Type="http://schemas.openxmlformats.org/officeDocument/2006/relationships/image" Target="media/image48.jpeg"/><Relationship Id="rId228" Type="http://schemas.openxmlformats.org/officeDocument/2006/relationships/image" Target="media/image53.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x.doi.org/10.1093/eurheartj/ehu278" TargetMode="External"/><Relationship Id="rId109" Type="http://schemas.openxmlformats.org/officeDocument/2006/relationships/hyperlink" Target="https://dx.doi.org/10.1016/j.jacc.2013.07.044" TargetMode="External"/><Relationship Id="rId34" Type="http://schemas.openxmlformats.org/officeDocument/2006/relationships/hyperlink" Target="https://dx.doi.org/10.1016/j.jacc.2014.07.017" TargetMode="External"/><Relationship Id="rId50" Type="http://schemas.openxmlformats.org/officeDocument/2006/relationships/hyperlink" Target="https://dx.doi.org/10.1016/j.jacc.2011.07.005" TargetMode="External"/><Relationship Id="rId55" Type="http://schemas.openxmlformats.org/officeDocument/2006/relationships/hyperlink" Target="https://dx.doi.org/10.4244/EIJV12I7A141" TargetMode="External"/><Relationship Id="rId76" Type="http://schemas.openxmlformats.org/officeDocument/2006/relationships/hyperlink" Target="https://dx.doi.org/10.1016/j.jcin.2008.02.007" TargetMode="External"/><Relationship Id="rId97" Type="http://schemas.openxmlformats.org/officeDocument/2006/relationships/hyperlink" Target="https://dx.doi.org/10.1016/j.jcin.2013.08.005" TargetMode="External"/><Relationship Id="rId104" Type="http://schemas.openxmlformats.org/officeDocument/2006/relationships/hyperlink" Target="https://dx.doi.org/10.1016/j.jcin.2010.03.019" TargetMode="External"/><Relationship Id="rId120" Type="http://schemas.openxmlformats.org/officeDocument/2006/relationships/hyperlink" Target="https://www.researchgate.net/profile/Momin-Salahuddin?enrichId=rgreq-890fcfc9bd8d7ab10969660873ee47f6-XXX&amp;enrichSource=Y292ZXJQYWdlOzM0NDYwOTUzNDtBUzo5NDU3NjYzMjc2NzI4MzVAMTYwMjQ5OTY3Mjg0MQ%3D%3D&amp;el=1_x_5&amp;_esc=publicationCoverPdf" TargetMode="External"/><Relationship Id="rId125" Type="http://schemas.openxmlformats.org/officeDocument/2006/relationships/image" Target="media/image14.png"/><Relationship Id="rId141" Type="http://schemas.openxmlformats.org/officeDocument/2006/relationships/image" Target="media/image19.png"/><Relationship Id="rId146" Type="http://schemas.openxmlformats.org/officeDocument/2006/relationships/image" Target="media/image23.png"/><Relationship Id="rId167" Type="http://schemas.openxmlformats.org/officeDocument/2006/relationships/hyperlink" Target="https://www.ncbi.nlm.nih.gov/pubmed/25426943" TargetMode="External"/><Relationship Id="rId188" Type="http://schemas.openxmlformats.org/officeDocument/2006/relationships/hyperlink" Target="https://www.ncbi.nlm.nih.gov/pubmed/24954318" TargetMode="External"/><Relationship Id="rId7" Type="http://schemas.openxmlformats.org/officeDocument/2006/relationships/hyperlink" Target="https://www.cureus.com/users/37440-afrasyab-altaf" TargetMode="External"/><Relationship Id="rId71" Type="http://schemas.openxmlformats.org/officeDocument/2006/relationships/hyperlink" Target="https://dx.doi.org/10.1016/j.ahj.2007.10.009" TargetMode="External"/><Relationship Id="rId92" Type="http://schemas.openxmlformats.org/officeDocument/2006/relationships/hyperlink" Target="https://dx.doi.org/10.1016/S0140-6736(16)32052-9" TargetMode="External"/><Relationship Id="rId162" Type="http://schemas.openxmlformats.org/officeDocument/2006/relationships/hyperlink" Target="http://dx.doi.org/10.2174/157016110790226561" TargetMode="External"/><Relationship Id="rId183" Type="http://schemas.openxmlformats.org/officeDocument/2006/relationships/hyperlink" Target="http://dx.doi.org/10.1161/01.hyp.35.5.1025" TargetMode="External"/><Relationship Id="rId213" Type="http://schemas.openxmlformats.org/officeDocument/2006/relationships/image" Target="media/image38.jpeg"/><Relationship Id="rId218" Type="http://schemas.openxmlformats.org/officeDocument/2006/relationships/image" Target="media/image43.jpeg"/><Relationship Id="rId2" Type="http://schemas.openxmlformats.org/officeDocument/2006/relationships/styles" Target="styles.xml"/><Relationship Id="rId29" Type="http://schemas.openxmlformats.org/officeDocument/2006/relationships/hyperlink" Target="https://dx.doi.org/10.1016/S0967-2109(03)00111-X" TargetMode="External"/><Relationship Id="rId24" Type="http://schemas.openxmlformats.org/officeDocument/2006/relationships/hyperlink" Target="https://dx.doi.org/%2010.1016/j.ejcts.2010.03.003" TargetMode="External"/><Relationship Id="rId40" Type="http://schemas.openxmlformats.org/officeDocument/2006/relationships/hyperlink" Target="https://dx.doi.org/10.1093/eurheartj/ehu278" TargetMode="External"/><Relationship Id="rId45" Type="http://schemas.openxmlformats.org/officeDocument/2006/relationships/hyperlink" Target="https://dx.doi.org/10.1016/j.jacc.2016.06.024" TargetMode="External"/><Relationship Id="rId66" Type="http://schemas.openxmlformats.org/officeDocument/2006/relationships/hyperlink" Target="https://dx.doi.org/10.1016/S0735-1097(00)00588-X" TargetMode="External"/><Relationship Id="rId87" Type="http://schemas.openxmlformats.org/officeDocument/2006/relationships/hyperlink" Target="http://www.suc.org.uy/emcc2008/Curso_Imag_2008_archivos/Bibliografia/CACG/sintax%20score%20sobre%20pci.pdf" TargetMode="External"/><Relationship Id="rId110" Type="http://schemas.openxmlformats.org/officeDocument/2006/relationships/hyperlink" Target="https://dx.doi.org/10.1016/j.jacc.2013.07.044" TargetMode="External"/><Relationship Id="rId115" Type="http://schemas.openxmlformats.org/officeDocument/2006/relationships/hyperlink" Target="https://www.researchgate.net/publication/344609534_Prognostic_significance_of_serum_potassium_level_for_major_adverse_cardiac_events_and_death_in_patients_with_coronary_atherosclerotic_disease?enrichId=rgreq-890fcfc9bd8d7ab10969660873ee47f6-XXX&amp;enrichSource=Y292ZXJQYWdlOzM0NDYwOTUzNDtBUzo5NDU3NjYzMjc2NzI4MzVAMTYwMjQ5OTY3Mjg0MQ%3D%3D&amp;el=1_x_2&amp;_esc=publicationCoverPdf" TargetMode="External"/><Relationship Id="rId131" Type="http://schemas.openxmlformats.org/officeDocument/2006/relationships/image" Target="media/image16.jpeg"/><Relationship Id="rId136" Type="http://schemas.openxmlformats.org/officeDocument/2006/relationships/image" Target="media/image17.jpeg"/><Relationship Id="rId157" Type="http://schemas.openxmlformats.org/officeDocument/2006/relationships/hyperlink" Target="https://www.ncbi.nlm.nih.gov/pubmed/16467502" TargetMode="External"/><Relationship Id="rId178" Type="http://schemas.openxmlformats.org/officeDocument/2006/relationships/hyperlink" Target="http://dx.doi.org/10.1016/s0002-9149(83)80105-2" TargetMode="External"/><Relationship Id="rId61" Type="http://schemas.openxmlformats.org/officeDocument/2006/relationships/hyperlink" Target="https://dx.doi.org/10.1016/S0140-6736(94)91963-1" TargetMode="External"/><Relationship Id="rId82" Type="http://schemas.openxmlformats.org/officeDocument/2006/relationships/hyperlink" Target="https://dx.doi.org/10.1016/j.jacc.2007.09.054" TargetMode="External"/><Relationship Id="rId152" Type="http://schemas.openxmlformats.org/officeDocument/2006/relationships/hyperlink" Target="https://www.ncbi.nlm.nih.gov/pubmed/18063660" TargetMode="External"/><Relationship Id="rId173" Type="http://schemas.openxmlformats.org/officeDocument/2006/relationships/hyperlink" Target="http://dx.doi.org/10.1093/eurheartj/ehy339" TargetMode="External"/><Relationship Id="rId194" Type="http://schemas.openxmlformats.org/officeDocument/2006/relationships/hyperlink" Target="http://dx.doi.org/10.4244/eijv5i1a9" TargetMode="External"/><Relationship Id="rId199" Type="http://schemas.openxmlformats.org/officeDocument/2006/relationships/hyperlink" Target="https://www.researchgate.net/publication/344609534" TargetMode="External"/><Relationship Id="rId203" Type="http://schemas.openxmlformats.org/officeDocument/2006/relationships/hyperlink" Target="mailto:dr.ammarabdullah@gmail.com" TargetMode="External"/><Relationship Id="rId208" Type="http://schemas.openxmlformats.org/officeDocument/2006/relationships/image" Target="media/image33.jpeg"/><Relationship Id="rId229" Type="http://schemas.openxmlformats.org/officeDocument/2006/relationships/image" Target="media/image54.jpeg"/><Relationship Id="rId19" Type="http://schemas.openxmlformats.org/officeDocument/2006/relationships/image" Target="media/image9.png"/><Relationship Id="rId224" Type="http://schemas.openxmlformats.org/officeDocument/2006/relationships/image" Target="media/image49.jpeg"/><Relationship Id="rId14" Type="http://schemas.openxmlformats.org/officeDocument/2006/relationships/image" Target="media/image4.png"/><Relationship Id="rId30" Type="http://schemas.openxmlformats.org/officeDocument/2006/relationships/hyperlink" Target="https://dx.doi.org/10.1016/j.jacc.2014.07.017" TargetMode="External"/><Relationship Id="rId35" Type="http://schemas.openxmlformats.org/officeDocument/2006/relationships/hyperlink" Target="https://dx.doi.org/10.1016/j.jacc.2014.07.017" TargetMode="External"/><Relationship Id="rId56" Type="http://schemas.openxmlformats.org/officeDocument/2006/relationships/hyperlink" Target="https://dx.doi.org/10.4244/EIJV12I7A141" TargetMode="External"/><Relationship Id="rId77" Type="http://schemas.openxmlformats.org/officeDocument/2006/relationships/hyperlink" Target="https://dx.doi.org/10.1016/j.jcin.2008.02.007" TargetMode="External"/><Relationship Id="rId100" Type="http://schemas.openxmlformats.org/officeDocument/2006/relationships/hyperlink" Target="https://dx.doi.org/10.1016/j.jcin.2013.08.005" TargetMode="External"/><Relationship Id="rId105" Type="http://schemas.openxmlformats.org/officeDocument/2006/relationships/hyperlink" Target="https://dx.doi.org/10.1016/j.jacc.2009.01.035" TargetMode="External"/><Relationship Id="rId126" Type="http://schemas.openxmlformats.org/officeDocument/2006/relationships/hyperlink" Target="https://www.researchgate.net/profile/Afrasyab-Altaf-2?enrichId=rgreq-890fcfc9bd8d7ab10969660873ee47f6-XXX&amp;enrichSource=Y292ZXJQYWdlOzM0NDYwOTUzNDtBUzo5NDU3NjYzMjc2NzI4MzVAMTYwMjQ5OTY3Mjg0MQ%3D%3D&amp;el=1_x_7&amp;_esc=publicationCoverPdf" TargetMode="External"/><Relationship Id="rId147" Type="http://schemas.openxmlformats.org/officeDocument/2006/relationships/image" Target="media/image24.png"/><Relationship Id="rId168" Type="http://schemas.openxmlformats.org/officeDocument/2006/relationships/hyperlink" Target="http://dx.doi.org/10.1161/CIR.0b013e31826e1058" TargetMode="External"/><Relationship Id="rId8" Type="http://schemas.openxmlformats.org/officeDocument/2006/relationships/hyperlink" Target="https://www.cureus.com/users/56612-momin-salahuddin" TargetMode="External"/><Relationship Id="rId51" Type="http://schemas.openxmlformats.org/officeDocument/2006/relationships/hyperlink" Target="https://dx.doi.org/10.1016/j.jacc.2011.07.005" TargetMode="External"/><Relationship Id="rId72" Type="http://schemas.openxmlformats.org/officeDocument/2006/relationships/hyperlink" Target="https://dx.doi.org/10.1016/j.ahj.2007.10.009" TargetMode="External"/><Relationship Id="rId93" Type="http://schemas.openxmlformats.org/officeDocument/2006/relationships/hyperlink" Target="https://dx.doi.org/10.1016/S0140-6736(16)32052-9" TargetMode="External"/><Relationship Id="rId98" Type="http://schemas.openxmlformats.org/officeDocument/2006/relationships/hyperlink" Target="https://dx.doi.org/10.1016/j.jcin.2013.08.005" TargetMode="External"/><Relationship Id="rId121" Type="http://schemas.openxmlformats.org/officeDocument/2006/relationships/image" Target="media/image12.jpeg"/><Relationship Id="rId142" Type="http://schemas.openxmlformats.org/officeDocument/2006/relationships/hyperlink" Target="mailto:afrasyabaltaf@gmail.com" TargetMode="External"/><Relationship Id="rId163" Type="http://schemas.openxmlformats.org/officeDocument/2006/relationships/hyperlink" Target="https://www.ncbi.nlm.nih.gov/pubmed/19485915" TargetMode="External"/><Relationship Id="rId184" Type="http://schemas.openxmlformats.org/officeDocument/2006/relationships/hyperlink" Target="https://www.ncbi.nlm.nih.gov/pubmed/10818057" TargetMode="External"/><Relationship Id="rId189" Type="http://schemas.openxmlformats.org/officeDocument/2006/relationships/hyperlink" Target="http://dx.doi.org/10.1373/49.1.190" TargetMode="External"/><Relationship Id="rId219" Type="http://schemas.openxmlformats.org/officeDocument/2006/relationships/image" Target="media/image44.jpeg"/><Relationship Id="rId3" Type="http://schemas.openxmlformats.org/officeDocument/2006/relationships/settings" Target="settings.xml"/><Relationship Id="rId214" Type="http://schemas.openxmlformats.org/officeDocument/2006/relationships/image" Target="media/image39.jpeg"/><Relationship Id="rId230" Type="http://schemas.openxmlformats.org/officeDocument/2006/relationships/image" Target="media/image55.jpeg"/><Relationship Id="rId25" Type="http://schemas.openxmlformats.org/officeDocument/2006/relationships/hyperlink" Target="https://dx.doi.org/10.1016/S0022-5223(96)70176-9" TargetMode="External"/><Relationship Id="rId46" Type="http://schemas.openxmlformats.org/officeDocument/2006/relationships/hyperlink" Target="https://dx.doi.org/10.1161/CIRCULATIONAHA.113.006689" TargetMode="External"/><Relationship Id="rId67" Type="http://schemas.openxmlformats.org/officeDocument/2006/relationships/hyperlink" Target="https://dx.doi.org/10.1016/j.ahj.2007.10.009" TargetMode="External"/><Relationship Id="rId116" Type="http://schemas.openxmlformats.org/officeDocument/2006/relationships/hyperlink" Target="https://www.researchgate.net/publication/344609534_Prognostic_significance_of_serum_potassium_level_for_major_adverse_cardiac_events_and_death_in_patients_with_coronary_atherosclerotic_disease?enrichId=rgreq-890fcfc9bd8d7ab10969660873ee47f6-XXX&amp;enrichSource=Y292ZXJQYWdlOzM0NDYwOTUzNDtBUzo5NDU3NjYzMjc2NzI4MzVAMTYwMjQ5OTY3Mjg0MQ%3D%3D&amp;el=1_x_3&amp;_esc=publicationCoverPdf" TargetMode="External"/><Relationship Id="rId137" Type="http://schemas.openxmlformats.org/officeDocument/2006/relationships/hyperlink" Target="https://www.researchgate.net/project/Coronary-Interventions?enrichId=rgreq-890fcfc9bd8d7ab10969660873ee47f6-XXX&amp;enrichSource=Y292ZXJQYWdlOzM0NDYwOTUzNDtBUzo5NDU3NjYzMjc2NzI4MzVAMTYwMjQ5OTY3Mjg0MQ%3D%3D&amp;el=1_x_9&amp;_esc=publicationCoverPdf" TargetMode="External"/><Relationship Id="rId158" Type="http://schemas.openxmlformats.org/officeDocument/2006/relationships/hyperlink" Target="http://dx.doi.org/10.1007/s00424-014-1473-7" TargetMode="External"/><Relationship Id="rId20" Type="http://schemas.openxmlformats.org/officeDocument/2006/relationships/hyperlink" Target="https://dx.doi.org/10.1161/01.CIR.91.9.2325" TargetMode="External"/><Relationship Id="rId41" Type="http://schemas.openxmlformats.org/officeDocument/2006/relationships/hyperlink" Target="https://dx.doi.org/10.1056/NEJMoa1610227" TargetMode="External"/><Relationship Id="rId62" Type="http://schemas.openxmlformats.org/officeDocument/2006/relationships/hyperlink" Target="https://dx.doi.org/10.1016/S0140-6736(94)91963-1" TargetMode="External"/><Relationship Id="rId83" Type="http://schemas.openxmlformats.org/officeDocument/2006/relationships/hyperlink" Target="https://dx.doi.org/10.1016/j.jacc.2007.09.054" TargetMode="External"/><Relationship Id="rId88" Type="http://schemas.openxmlformats.org/officeDocument/2006/relationships/hyperlink" Target="http://www.suc.org.uy/emcc2008/Curso_Imag_2008_archivos/Bibliografia/CACG/sintax%20score%20sobre%20pci.pdf" TargetMode="External"/><Relationship Id="rId111" Type="http://schemas.openxmlformats.org/officeDocument/2006/relationships/hyperlink" Target="https://dx.doi.org/10.1161/CIRCINTERVENTIONS.108.799494" TargetMode="External"/><Relationship Id="rId132" Type="http://schemas.openxmlformats.org/officeDocument/2006/relationships/hyperlink" Target="https://www.researchgate.net/institution/Rehman-Medical-Institute?enrichId=rgreq-890fcfc9bd8d7ab10969660873ee47f6-XXX&amp;enrichSource=Y292ZXJQYWdlOzM0NDYwOTUzNDtBUzo5NDU3NjYzMjc2NzI4MzVAMTYwMjQ5OTY3Mjg0MQ%3D%3D&amp;el=1_x_6&amp;_esc=publicationCoverPdf" TargetMode="External"/><Relationship Id="rId153" Type="http://schemas.openxmlformats.org/officeDocument/2006/relationships/hyperlink" Target="http://dx.doi.org/10.1093/cvr/cvr050" TargetMode="External"/><Relationship Id="rId174" Type="http://schemas.openxmlformats.org/officeDocument/2006/relationships/hyperlink" Target="http://dx.doi.org/10.1093/eurheartj/ehy339" TargetMode="External"/><Relationship Id="rId179" Type="http://schemas.openxmlformats.org/officeDocument/2006/relationships/hyperlink" Target="https://www.ncbi.nlm.nih.gov/pubmed/6823874" TargetMode="External"/><Relationship Id="rId195" Type="http://schemas.openxmlformats.org/officeDocument/2006/relationships/hyperlink" Target="https://www.ncbi.nlm.nih.gov/pubmed/19577983" TargetMode="External"/><Relationship Id="rId209" Type="http://schemas.openxmlformats.org/officeDocument/2006/relationships/image" Target="media/image34.jpeg"/><Relationship Id="rId190" Type="http://schemas.openxmlformats.org/officeDocument/2006/relationships/hyperlink" Target="https://www.ncbi.nlm.nih.gov/pubmed/12507983" TargetMode="External"/><Relationship Id="rId204" Type="http://schemas.openxmlformats.org/officeDocument/2006/relationships/image" Target="media/image29.jpeg"/><Relationship Id="rId220" Type="http://schemas.openxmlformats.org/officeDocument/2006/relationships/image" Target="media/image45.jpeg"/><Relationship Id="rId225" Type="http://schemas.openxmlformats.org/officeDocument/2006/relationships/image" Target="media/image50.jpeg"/><Relationship Id="rId15" Type="http://schemas.openxmlformats.org/officeDocument/2006/relationships/image" Target="media/image5.png"/><Relationship Id="rId36" Type="http://schemas.openxmlformats.org/officeDocument/2006/relationships/hyperlink" Target="https://dx.doi.org/10.1016/j.jacc.2014.07.017" TargetMode="External"/><Relationship Id="rId57" Type="http://schemas.openxmlformats.org/officeDocument/2006/relationships/hyperlink" Target="https://dx.doi.org/10.15420/icr.2015.10.03.132" TargetMode="External"/><Relationship Id="rId106" Type="http://schemas.openxmlformats.org/officeDocument/2006/relationships/hyperlink" Target="https://dx.doi.org/10.1016/j.jacc.2009.01.035" TargetMode="External"/><Relationship Id="rId127" Type="http://schemas.openxmlformats.org/officeDocument/2006/relationships/hyperlink" Target="https://www.researchgate.net/profile/Momin-Salahuddin?enrichId=rgreq-890fcfc9bd8d7ab10969660873ee47f6-XXX&amp;enrichSource=Y292ZXJQYWdlOzM0NDYwOTUzNDtBUzo5NDU3NjYzMjc2NzI4MzVAMTYwMjQ5OTY3Mjg0MQ%3D%3D&amp;el=1_x_7&amp;_esc=publicationCoverPdf" TargetMode="External"/><Relationship Id="rId10" Type="http://schemas.openxmlformats.org/officeDocument/2006/relationships/hyperlink" Target="https://www.cureus.com/users/56614-karamat-a-shah" TargetMode="External"/><Relationship Id="rId31" Type="http://schemas.openxmlformats.org/officeDocument/2006/relationships/hyperlink" Target="https://dx.doi.org/10.1016/j.jacc.2014.07.017" TargetMode="External"/><Relationship Id="rId52" Type="http://schemas.openxmlformats.org/officeDocument/2006/relationships/hyperlink" Target="https://dx.doi.org/10.1016/j.jacc.2011.07.005" TargetMode="External"/><Relationship Id="rId73" Type="http://schemas.openxmlformats.org/officeDocument/2006/relationships/hyperlink" Target="https://dx.doi.org/10.1161/CIRCULATIONAHA.105.595694" TargetMode="External"/><Relationship Id="rId78" Type="http://schemas.openxmlformats.org/officeDocument/2006/relationships/hyperlink" Target="https://dx.doi.org/10.1016/j.jcin.2008.02.007" TargetMode="External"/><Relationship Id="rId94" Type="http://schemas.openxmlformats.org/officeDocument/2006/relationships/hyperlink" Target="https://dx.doi.org/10.1016/j.jcin.2013.08.013" TargetMode="External"/><Relationship Id="rId99" Type="http://schemas.openxmlformats.org/officeDocument/2006/relationships/hyperlink" Target="https://dx.doi.org/10.1016/j.jcin.2013.08.005" TargetMode="External"/><Relationship Id="rId101" Type="http://schemas.openxmlformats.org/officeDocument/2006/relationships/hyperlink" Target="https://dx.doi.org/10.1016/j.jcin.2013.08.005" TargetMode="External"/><Relationship Id="rId122" Type="http://schemas.openxmlformats.org/officeDocument/2006/relationships/image" Target="media/image13.jpeg"/><Relationship Id="rId143" Type="http://schemas.openxmlformats.org/officeDocument/2006/relationships/image" Target="media/image20.png"/><Relationship Id="rId148" Type="http://schemas.openxmlformats.org/officeDocument/2006/relationships/image" Target="media/image25.png"/><Relationship Id="rId164" Type="http://schemas.openxmlformats.org/officeDocument/2006/relationships/hyperlink" Target="http://dx.doi.org/10.1093/ajh/3.2.133" TargetMode="External"/><Relationship Id="rId169" Type="http://schemas.openxmlformats.org/officeDocument/2006/relationships/hyperlink" Target="http://dx.doi.org/10.1161/CIR.0b013e31826e1058" TargetMode="External"/><Relationship Id="rId185" Type="http://schemas.openxmlformats.org/officeDocument/2006/relationships/hyperlink" Target="http://dx.doi.org/10.3109/10641969209036169" TargetMode="External"/><Relationship Id="rId4" Type="http://schemas.openxmlformats.org/officeDocument/2006/relationships/webSettings" Target="webSettings.xml"/><Relationship Id="rId9" Type="http://schemas.openxmlformats.org/officeDocument/2006/relationships/hyperlink" Target="https://www.cureus.com/users/56613-momin-khan" TargetMode="External"/><Relationship Id="rId180" Type="http://schemas.openxmlformats.org/officeDocument/2006/relationships/hyperlink" Target="http://dx.doi.org/10.1016/j.amjcard.2017.11.025" TargetMode="External"/><Relationship Id="rId210" Type="http://schemas.openxmlformats.org/officeDocument/2006/relationships/image" Target="media/image35.jpeg"/><Relationship Id="rId215" Type="http://schemas.openxmlformats.org/officeDocument/2006/relationships/image" Target="media/image40.jpeg"/><Relationship Id="rId26" Type="http://schemas.openxmlformats.org/officeDocument/2006/relationships/hyperlink" Target="https://dx.doi.org/10.1016/S0022-5223(96)70176-9" TargetMode="External"/><Relationship Id="rId231" Type="http://schemas.openxmlformats.org/officeDocument/2006/relationships/image" Target="media/image56.jpeg"/><Relationship Id="rId47" Type="http://schemas.openxmlformats.org/officeDocument/2006/relationships/hyperlink" Target="https://dx.doi.org/10.1161/CIRCULATIONAHA.113.006689" TargetMode="External"/><Relationship Id="rId68" Type="http://schemas.openxmlformats.org/officeDocument/2006/relationships/hyperlink" Target="https://dx.doi.org/10.1016/j.ahj.2007.10.009" TargetMode="External"/><Relationship Id="rId89" Type="http://schemas.openxmlformats.org/officeDocument/2006/relationships/hyperlink" Target="https://dx.doi.org/10.1016/S0140-6736(16)32052-9" TargetMode="External"/><Relationship Id="rId112" Type="http://schemas.openxmlformats.org/officeDocument/2006/relationships/hyperlink" Target="https://dx.doi.org/10.1161/CIRCINTERVENTIONS.108.799494" TargetMode="External"/><Relationship Id="rId133" Type="http://schemas.openxmlformats.org/officeDocument/2006/relationships/hyperlink" Target="https://www.researchgate.net/institution/Rehman-Medical-Institute?enrichId=rgreq-890fcfc9bd8d7ab10969660873ee47f6-XXX&amp;enrichSource=Y292ZXJQYWdlOzM0NDYwOTUzNDtBUzo5NDU3NjYzMjc2NzI4MzVAMTYwMjQ5OTY3Mjg0MQ%3D%3D&amp;el=1_x_6&amp;_esc=publicationCoverPdf" TargetMode="External"/><Relationship Id="rId154" Type="http://schemas.openxmlformats.org/officeDocument/2006/relationships/hyperlink" Target="https://www.ncbi.nlm.nih.gov/pubmed/21349874" TargetMode="External"/><Relationship Id="rId175" Type="http://schemas.openxmlformats.org/officeDocument/2006/relationships/hyperlink" Target="https://www.ncbi.nlm.nih.gov/pubmed/30165516" TargetMode="External"/><Relationship Id="rId196" Type="http://schemas.openxmlformats.org/officeDocument/2006/relationships/hyperlink" Target="http://dx.doi.org/10.1007/s00380-015-0685-x" TargetMode="External"/><Relationship Id="rId200" Type="http://schemas.openxmlformats.org/officeDocument/2006/relationships/image" Target="media/image26.png"/><Relationship Id="rId16" Type="http://schemas.openxmlformats.org/officeDocument/2006/relationships/image" Target="media/image6.png"/><Relationship Id="rId221" Type="http://schemas.openxmlformats.org/officeDocument/2006/relationships/image" Target="media/image46.jpeg"/><Relationship Id="rId37" Type="http://schemas.openxmlformats.org/officeDocument/2006/relationships/hyperlink" Target="https://dx.doi.org/10.1093/eurheartj/ehu278" TargetMode="External"/><Relationship Id="rId58" Type="http://schemas.openxmlformats.org/officeDocument/2006/relationships/hyperlink" Target="https://dx.doi.org/10.15420/icr.2015.10.03.132" TargetMode="External"/><Relationship Id="rId79" Type="http://schemas.openxmlformats.org/officeDocument/2006/relationships/hyperlink" Target="https://dx.doi.org/10.1056/NEJMoa0801441" TargetMode="External"/><Relationship Id="rId102" Type="http://schemas.openxmlformats.org/officeDocument/2006/relationships/hyperlink" Target="https://dx.doi.org/10.1016/j.jcin.2010.03.019" TargetMode="External"/><Relationship Id="rId123" Type="http://schemas.openxmlformats.org/officeDocument/2006/relationships/hyperlink" Target="https://www.researchgate.net/institution/Rehman-Medical-Institute?enrichId=rgreq-890fcfc9bd8d7ab10969660873ee47f6-XXX&amp;enrichSource=Y292ZXJQYWdlOzM0NDYwOTUzNDtBUzo5NDU3NjYzMjc2NzI4MzVAMTYwMjQ5OTY3Mjg0MQ%3D%3D&amp;el=1_x_6&amp;_esc=publicationCoverPdf" TargetMode="External"/><Relationship Id="rId144" Type="http://schemas.openxmlformats.org/officeDocument/2006/relationships/image" Target="media/image21.png"/><Relationship Id="rId90" Type="http://schemas.openxmlformats.org/officeDocument/2006/relationships/hyperlink" Target="https://dx.doi.org/10.1016/S0140-6736(16)32052-9" TargetMode="External"/><Relationship Id="rId165" Type="http://schemas.openxmlformats.org/officeDocument/2006/relationships/hyperlink" Target="https://www.ncbi.nlm.nih.gov/pubmed/2306340" TargetMode="External"/><Relationship Id="rId186" Type="http://schemas.openxmlformats.org/officeDocument/2006/relationships/hyperlink" Target="https://www.ncbi.nlm.nih.gov/pubmed/1541045" TargetMode="External"/><Relationship Id="rId211" Type="http://schemas.openxmlformats.org/officeDocument/2006/relationships/image" Target="media/image36.jpeg"/><Relationship Id="rId23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11324</Words>
  <Characters>64550</Characters>
  <Application>Microsoft Office Word</Application>
  <DocSecurity>0</DocSecurity>
  <Lines>537</Lines>
  <Paragraphs>151</Paragraphs>
  <ScaleCrop>false</ScaleCrop>
  <Company/>
  <LinksUpToDate>false</LinksUpToDate>
  <CharactersWithSpaces>75723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Momin Khan | Assistant Professor &amp; Consultant -Cardiology</dc:creator>
  <cp:lastModifiedBy>Dr. Momin Khan | Assistant Professor &amp; Consultant -Cardiology</cp:lastModifiedBy>
  <cp:revision>4</cp:revision>
  <dcterms:created xsi:type="dcterms:W3CDTF">2021-06-16T11:16:00Z</dcterms:created>
  <dcterms:modified xsi:type="dcterms:W3CDTF">2021-06-21T06:43:00Z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Creator">
    <vt:lpwstr>Microsoft® Word 2013</vt:lpwstr>
  </property>
  <property fmtid="{D5CDD505-2E9C-101B-9397-08002B2CF9AE}" pid="4" name="LastSaved">
    <vt:filetime>2021-06-16T00:00:00Z</vt:filetime>
  </property>
</Properties>
</file>